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7680B" w14:textId="77777777" w:rsidR="00C367E8" w:rsidRDefault="00C367E8" w:rsidP="00DC15F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7D4029" w14:textId="18296794" w:rsidR="002433BA" w:rsidRPr="00383BFA" w:rsidRDefault="009B3681" w:rsidP="00DC15F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83BFA">
        <w:rPr>
          <w:rFonts w:ascii="Arial" w:hAnsi="Arial" w:cs="Arial"/>
          <w:b/>
          <w:sz w:val="24"/>
          <w:szCs w:val="24"/>
        </w:rPr>
        <w:t>I</w:t>
      </w:r>
      <w:r w:rsidR="002433BA" w:rsidRPr="00383BFA">
        <w:rPr>
          <w:rFonts w:ascii="Arial" w:hAnsi="Arial" w:cs="Arial"/>
          <w:b/>
          <w:sz w:val="24"/>
          <w:szCs w:val="24"/>
        </w:rPr>
        <w:t>.- Marco de Referencia:</w:t>
      </w:r>
    </w:p>
    <w:p w14:paraId="3FBFD3DA" w14:textId="77777777" w:rsidR="002E1A94" w:rsidRPr="002E1A94" w:rsidRDefault="002E1A94" w:rsidP="002E1A9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D2F3374" w14:textId="768FBBE7" w:rsidR="002E1A94" w:rsidRPr="007B4A2C" w:rsidRDefault="00AA7C92" w:rsidP="002E1A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7A5EEB">
        <w:rPr>
          <w:rFonts w:ascii="Arial" w:hAnsi="Arial" w:cs="Arial"/>
          <w:sz w:val="24"/>
          <w:szCs w:val="24"/>
        </w:rPr>
        <w:t>Plan Anual de Desarrollo Archivístico</w:t>
      </w:r>
      <w:r>
        <w:rPr>
          <w:rFonts w:ascii="Arial" w:hAnsi="Arial" w:cs="Arial"/>
          <w:sz w:val="24"/>
          <w:szCs w:val="24"/>
        </w:rPr>
        <w:t xml:space="preserve"> de la Comisión Estatal de Derechos Humanos de Veracruz 2024</w:t>
      </w:r>
      <w:r w:rsidR="007A5E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contiene la</w:t>
      </w:r>
      <w:r w:rsidR="007A5EEB">
        <w:rPr>
          <w:rFonts w:ascii="Arial" w:hAnsi="Arial" w:cs="Arial"/>
          <w:sz w:val="24"/>
          <w:szCs w:val="24"/>
        </w:rPr>
        <w:t xml:space="preserve"> programación de las actividades que </w:t>
      </w:r>
      <w:r w:rsidR="00152FCF">
        <w:rPr>
          <w:rFonts w:ascii="Arial" w:hAnsi="Arial" w:cs="Arial"/>
          <w:sz w:val="24"/>
          <w:szCs w:val="24"/>
        </w:rPr>
        <w:t xml:space="preserve">se </w:t>
      </w:r>
      <w:r w:rsidR="007A5EEB">
        <w:rPr>
          <w:rFonts w:ascii="Arial" w:hAnsi="Arial" w:cs="Arial"/>
          <w:sz w:val="24"/>
          <w:szCs w:val="24"/>
        </w:rPr>
        <w:t>desarrollará</w:t>
      </w:r>
      <w:r w:rsidR="00F65CEF"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z w:val="24"/>
          <w:szCs w:val="24"/>
        </w:rPr>
        <w:t xml:space="preserve">del Organismo. Es </w:t>
      </w:r>
      <w:r w:rsidR="002E1A94" w:rsidRPr="00383BFA">
        <w:rPr>
          <w:rFonts w:ascii="Arial" w:hAnsi="Arial" w:cs="Arial"/>
          <w:sz w:val="24"/>
          <w:szCs w:val="24"/>
        </w:rPr>
        <w:t>una herramienta</w:t>
      </w:r>
      <w:r w:rsidR="001D3E91">
        <w:rPr>
          <w:rFonts w:ascii="Arial" w:hAnsi="Arial" w:cs="Arial"/>
          <w:sz w:val="24"/>
          <w:szCs w:val="24"/>
        </w:rPr>
        <w:t xml:space="preserve"> de</w:t>
      </w:r>
      <w:r w:rsidR="00E15883">
        <w:rPr>
          <w:rFonts w:ascii="Arial" w:hAnsi="Arial" w:cs="Arial"/>
          <w:sz w:val="24"/>
          <w:szCs w:val="24"/>
        </w:rPr>
        <w:t xml:space="preserve"> </w:t>
      </w:r>
      <w:r w:rsidR="00E55768">
        <w:rPr>
          <w:rFonts w:ascii="Arial" w:hAnsi="Arial" w:cs="Arial"/>
          <w:sz w:val="24"/>
          <w:szCs w:val="24"/>
        </w:rPr>
        <w:t xml:space="preserve">planeación </w:t>
      </w:r>
      <w:r w:rsidR="002E1A94" w:rsidRPr="00383BFA">
        <w:rPr>
          <w:rFonts w:ascii="Arial" w:hAnsi="Arial" w:cs="Arial"/>
          <w:sz w:val="24"/>
          <w:szCs w:val="24"/>
        </w:rPr>
        <w:t xml:space="preserve">institucional </w:t>
      </w:r>
      <w:r w:rsidR="00BE48D5">
        <w:rPr>
          <w:rFonts w:ascii="Arial" w:hAnsi="Arial" w:cs="Arial"/>
          <w:sz w:val="24"/>
          <w:szCs w:val="24"/>
        </w:rPr>
        <w:t>para el</w:t>
      </w:r>
      <w:r w:rsidR="002E1A94" w:rsidRPr="00383BFA">
        <w:rPr>
          <w:rFonts w:ascii="Arial" w:hAnsi="Arial" w:cs="Arial"/>
          <w:sz w:val="24"/>
          <w:szCs w:val="24"/>
        </w:rPr>
        <w:t xml:space="preserve"> mejoramiento continuo de los servicios documentales y archivísticos</w:t>
      </w:r>
      <w:r w:rsidR="00BE48D5">
        <w:rPr>
          <w:rFonts w:ascii="Arial" w:hAnsi="Arial" w:cs="Arial"/>
          <w:sz w:val="24"/>
          <w:szCs w:val="24"/>
        </w:rPr>
        <w:t>.</w:t>
      </w:r>
      <w:r w:rsidR="002E1A94">
        <w:rPr>
          <w:rFonts w:ascii="Arial" w:hAnsi="Arial" w:cs="Arial"/>
          <w:sz w:val="24"/>
          <w:szCs w:val="24"/>
        </w:rPr>
        <w:t xml:space="preserve"> </w:t>
      </w:r>
      <w:r w:rsidR="00BE48D5">
        <w:rPr>
          <w:rFonts w:ascii="Arial" w:hAnsi="Arial" w:cs="Arial"/>
          <w:sz w:val="24"/>
          <w:szCs w:val="24"/>
        </w:rPr>
        <w:t>S</w:t>
      </w:r>
      <w:r w:rsidR="002E1A94" w:rsidRPr="00383BFA">
        <w:rPr>
          <w:rFonts w:ascii="Arial" w:hAnsi="Arial" w:cs="Arial"/>
          <w:sz w:val="24"/>
          <w:szCs w:val="24"/>
        </w:rPr>
        <w:t xml:space="preserve">u finalidad es </w:t>
      </w:r>
      <w:r>
        <w:rPr>
          <w:rFonts w:ascii="Arial" w:hAnsi="Arial" w:cs="Arial"/>
          <w:sz w:val="24"/>
          <w:szCs w:val="24"/>
        </w:rPr>
        <w:t>identificar los riesgos en materia archivística, así como definir las estrategias y acciones que permitan controlarlos</w:t>
      </w:r>
      <w:r>
        <w:rPr>
          <w:rFonts w:ascii="Arial" w:hAnsi="Arial" w:cs="Arial"/>
          <w:sz w:val="24"/>
          <w:szCs w:val="24"/>
        </w:rPr>
        <w:t xml:space="preserve"> e i</w:t>
      </w:r>
      <w:r w:rsidR="002E1A94" w:rsidRPr="00383BFA">
        <w:rPr>
          <w:rFonts w:ascii="Arial" w:hAnsi="Arial" w:cs="Arial"/>
          <w:sz w:val="24"/>
          <w:szCs w:val="24"/>
        </w:rPr>
        <w:t>mplementar estrategias encaminadas a fortalecer el proceso de organización y conservación del archivo de trámite, concentración e histórico</w:t>
      </w:r>
      <w:r w:rsidR="002E1A94">
        <w:rPr>
          <w:rFonts w:ascii="Arial" w:hAnsi="Arial" w:cs="Arial"/>
          <w:sz w:val="24"/>
          <w:szCs w:val="24"/>
        </w:rPr>
        <w:t>.</w:t>
      </w:r>
      <w:r w:rsidR="002E1A94" w:rsidRPr="00383BFA">
        <w:rPr>
          <w:rFonts w:ascii="Arial" w:hAnsi="Arial" w:cs="Arial"/>
          <w:sz w:val="24"/>
          <w:szCs w:val="24"/>
        </w:rPr>
        <w:t xml:space="preserve"> </w:t>
      </w:r>
    </w:p>
    <w:p w14:paraId="56D5BA23" w14:textId="77777777" w:rsidR="002E1A94" w:rsidRPr="00383BFA" w:rsidRDefault="002E1A94" w:rsidP="002E1A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622BF7" w14:textId="7990A20F" w:rsidR="00667A98" w:rsidRPr="00383BFA" w:rsidRDefault="00AA7C92" w:rsidP="002E1A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plan </w:t>
      </w:r>
      <w:r w:rsidR="00E95B82">
        <w:rPr>
          <w:rFonts w:ascii="Arial" w:hAnsi="Arial" w:cs="Arial"/>
          <w:sz w:val="24"/>
          <w:szCs w:val="24"/>
        </w:rPr>
        <w:t xml:space="preserve">se </w:t>
      </w:r>
      <w:r w:rsidR="00D70AED">
        <w:rPr>
          <w:rFonts w:ascii="Arial" w:hAnsi="Arial" w:cs="Arial"/>
          <w:sz w:val="24"/>
          <w:szCs w:val="24"/>
        </w:rPr>
        <w:t>presenta</w:t>
      </w:r>
      <w:r w:rsidR="002E1A94">
        <w:rPr>
          <w:rFonts w:ascii="Arial" w:hAnsi="Arial" w:cs="Arial"/>
          <w:sz w:val="24"/>
          <w:szCs w:val="24"/>
        </w:rPr>
        <w:t xml:space="preserve"> </w:t>
      </w:r>
      <w:r w:rsidR="00D70AED">
        <w:rPr>
          <w:rFonts w:ascii="Arial" w:hAnsi="Arial" w:cs="Arial"/>
          <w:sz w:val="24"/>
          <w:szCs w:val="24"/>
        </w:rPr>
        <w:t>c</w:t>
      </w:r>
      <w:r w:rsidR="002E1A94" w:rsidRPr="00383BFA">
        <w:rPr>
          <w:rFonts w:ascii="Arial" w:hAnsi="Arial" w:cs="Arial"/>
          <w:sz w:val="24"/>
          <w:szCs w:val="24"/>
        </w:rPr>
        <w:t xml:space="preserve">on </w:t>
      </w:r>
      <w:r w:rsidR="00E95B82">
        <w:rPr>
          <w:rFonts w:ascii="Arial" w:hAnsi="Arial" w:cs="Arial"/>
          <w:sz w:val="24"/>
          <w:szCs w:val="24"/>
        </w:rPr>
        <w:t>fundamento</w:t>
      </w:r>
      <w:r w:rsidR="002E1A94" w:rsidRPr="00383BFA">
        <w:rPr>
          <w:rFonts w:ascii="Arial" w:hAnsi="Arial" w:cs="Arial"/>
          <w:sz w:val="24"/>
          <w:szCs w:val="24"/>
        </w:rPr>
        <w:t xml:space="preserve"> </w:t>
      </w:r>
      <w:r w:rsidR="00116BEC">
        <w:rPr>
          <w:rFonts w:ascii="Arial" w:hAnsi="Arial" w:cs="Arial"/>
          <w:sz w:val="24"/>
          <w:szCs w:val="24"/>
        </w:rPr>
        <w:t>en</w:t>
      </w:r>
      <w:r w:rsidR="002E1A94" w:rsidRPr="00383BFA">
        <w:rPr>
          <w:rFonts w:ascii="Arial" w:hAnsi="Arial" w:cs="Arial"/>
          <w:sz w:val="24"/>
          <w:szCs w:val="24"/>
        </w:rPr>
        <w:t xml:space="preserve"> lo establecido en los artículos 23, 24, 25 y 26 de la Ley General de Archivos</w:t>
      </w:r>
      <w:r w:rsidR="00BE48D5">
        <w:rPr>
          <w:rFonts w:ascii="Arial" w:hAnsi="Arial" w:cs="Arial"/>
          <w:sz w:val="24"/>
          <w:szCs w:val="24"/>
        </w:rPr>
        <w:t xml:space="preserve"> </w:t>
      </w:r>
      <w:r w:rsidR="00A46182">
        <w:rPr>
          <w:rFonts w:ascii="Arial" w:hAnsi="Arial" w:cs="Arial"/>
          <w:sz w:val="24"/>
          <w:szCs w:val="24"/>
        </w:rPr>
        <w:t xml:space="preserve">el </w:t>
      </w:r>
      <w:r w:rsidR="00BE48D5">
        <w:rPr>
          <w:rFonts w:ascii="Arial" w:hAnsi="Arial" w:cs="Arial"/>
          <w:sz w:val="24"/>
          <w:szCs w:val="24"/>
        </w:rPr>
        <w:t xml:space="preserve">numeral </w:t>
      </w:r>
      <w:r w:rsidR="002E1A94" w:rsidRPr="00383BFA">
        <w:rPr>
          <w:rFonts w:ascii="Arial" w:hAnsi="Arial" w:cs="Arial"/>
          <w:sz w:val="24"/>
          <w:szCs w:val="24"/>
        </w:rPr>
        <w:t>Sexto</w:t>
      </w:r>
      <w:r w:rsidR="00BE48D5">
        <w:rPr>
          <w:rFonts w:ascii="Arial" w:hAnsi="Arial" w:cs="Arial"/>
          <w:sz w:val="24"/>
          <w:szCs w:val="24"/>
        </w:rPr>
        <w:t>,</w:t>
      </w:r>
      <w:r w:rsidR="002E1A94" w:rsidRPr="00383BFA">
        <w:rPr>
          <w:rFonts w:ascii="Arial" w:hAnsi="Arial" w:cs="Arial"/>
          <w:sz w:val="24"/>
          <w:szCs w:val="24"/>
        </w:rPr>
        <w:t xml:space="preserve"> fracción III de los Lineamientos para la Organización de Archivos</w:t>
      </w:r>
      <w:r w:rsidR="00A46182">
        <w:rPr>
          <w:rFonts w:ascii="Arial" w:hAnsi="Arial" w:cs="Arial"/>
          <w:sz w:val="24"/>
          <w:szCs w:val="24"/>
        </w:rPr>
        <w:t xml:space="preserve"> y el</w:t>
      </w:r>
      <w:r w:rsidR="006A27F3">
        <w:rPr>
          <w:rFonts w:ascii="Arial" w:hAnsi="Arial" w:cs="Arial"/>
          <w:sz w:val="24"/>
          <w:szCs w:val="24"/>
        </w:rPr>
        <w:t xml:space="preserve"> artículo 15 fracción II y IV</w:t>
      </w:r>
      <w:r w:rsidR="00BC1D4E">
        <w:rPr>
          <w:rFonts w:ascii="Arial" w:hAnsi="Arial" w:cs="Arial"/>
          <w:sz w:val="24"/>
          <w:szCs w:val="24"/>
        </w:rPr>
        <w:t xml:space="preserve"> </w:t>
      </w:r>
      <w:r w:rsidR="006A27F3">
        <w:rPr>
          <w:rFonts w:ascii="Arial" w:hAnsi="Arial" w:cs="Arial"/>
          <w:sz w:val="24"/>
          <w:szCs w:val="24"/>
        </w:rPr>
        <w:t xml:space="preserve">de los Lineamientos para la Gestión y Administración Documental de la Comisión Estatal de Derechos Humanos de Veracruz. </w:t>
      </w:r>
      <w:r w:rsidR="00667A98">
        <w:rPr>
          <w:rFonts w:ascii="Arial" w:hAnsi="Arial" w:cs="Arial"/>
          <w:sz w:val="24"/>
          <w:szCs w:val="24"/>
        </w:rPr>
        <w:t>En el ámbito archivístico es elemental contar con la planificación, alcances, progreso y medición de riesgos de las actividades que se implementarán para el alcance de ahí la importancia de contar con un Plan Anual de Desarrollo Archivístico.</w:t>
      </w:r>
    </w:p>
    <w:p w14:paraId="0BC91636" w14:textId="77777777" w:rsidR="003D6B3C" w:rsidRDefault="003D6B3C" w:rsidP="00DC15FB">
      <w:pPr>
        <w:spacing w:after="0" w:line="24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09200F40" w14:textId="67178152" w:rsidR="00AD67D7" w:rsidRPr="007E4E64" w:rsidRDefault="00690276" w:rsidP="00DC15FB">
      <w:pPr>
        <w:spacing w:after="0" w:line="24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7E4E64">
        <w:rPr>
          <w:rFonts w:ascii="Arial" w:hAnsi="Arial" w:cs="Arial"/>
          <w:b/>
          <w:i/>
          <w:iCs/>
          <w:sz w:val="24"/>
          <w:szCs w:val="24"/>
        </w:rPr>
        <w:t xml:space="preserve">Antecedentes: </w:t>
      </w:r>
    </w:p>
    <w:p w14:paraId="2A48FE0C" w14:textId="77777777" w:rsidR="00745FD5" w:rsidRDefault="00745FD5" w:rsidP="00DC15F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594A16A" w14:textId="1DA63900" w:rsidR="00690276" w:rsidRDefault="00FD1287" w:rsidP="00DC15F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El 13 de </w:t>
      </w:r>
      <w:r w:rsidR="00502A6F">
        <w:rPr>
          <w:rFonts w:ascii="Arial" w:hAnsi="Arial" w:cs="Arial"/>
          <w:bCs/>
          <w:sz w:val="24"/>
          <w:szCs w:val="24"/>
        </w:rPr>
        <w:t>agosto</w:t>
      </w:r>
      <w:r>
        <w:rPr>
          <w:rFonts w:ascii="Arial" w:hAnsi="Arial" w:cs="Arial"/>
          <w:bCs/>
          <w:sz w:val="24"/>
          <w:szCs w:val="24"/>
        </w:rPr>
        <w:t xml:space="preserve"> de 2019 se formalizó la instalación del Grupo Interdisciplinario en Materia de Archivos</w:t>
      </w:r>
      <w:r w:rsidR="001C647C">
        <w:rPr>
          <w:rFonts w:ascii="Arial" w:hAnsi="Arial" w:cs="Arial"/>
          <w:bCs/>
          <w:sz w:val="24"/>
          <w:szCs w:val="24"/>
        </w:rPr>
        <w:t xml:space="preserve"> de la Comisión Estatal de Derechos Humanos de Veracruz</w:t>
      </w:r>
      <w:r>
        <w:rPr>
          <w:rFonts w:ascii="Arial" w:hAnsi="Arial" w:cs="Arial"/>
          <w:bCs/>
          <w:sz w:val="24"/>
          <w:szCs w:val="24"/>
        </w:rPr>
        <w:t xml:space="preserve"> mediante </w:t>
      </w:r>
      <w:r w:rsidR="00116BEC">
        <w:rPr>
          <w:rFonts w:ascii="Arial" w:hAnsi="Arial" w:cs="Arial"/>
          <w:bCs/>
          <w:sz w:val="24"/>
          <w:szCs w:val="24"/>
        </w:rPr>
        <w:t xml:space="preserve">el </w:t>
      </w:r>
      <w:r>
        <w:rPr>
          <w:rFonts w:ascii="Arial" w:hAnsi="Arial" w:cs="Arial"/>
          <w:bCs/>
          <w:sz w:val="24"/>
          <w:szCs w:val="24"/>
        </w:rPr>
        <w:t xml:space="preserve">ACUERDO UAR-GI-CEDHV-001/2019, </w:t>
      </w:r>
      <w:r w:rsidR="003D4BBF">
        <w:rPr>
          <w:rFonts w:ascii="Arial" w:hAnsi="Arial" w:cs="Arial"/>
          <w:bCs/>
          <w:sz w:val="24"/>
          <w:szCs w:val="24"/>
        </w:rPr>
        <w:t xml:space="preserve">en </w:t>
      </w:r>
      <w:r>
        <w:rPr>
          <w:rFonts w:ascii="Arial" w:hAnsi="Arial" w:cs="Arial"/>
          <w:bCs/>
          <w:sz w:val="24"/>
          <w:szCs w:val="24"/>
        </w:rPr>
        <w:t xml:space="preserve">el </w:t>
      </w:r>
      <w:r w:rsidR="003B7503">
        <w:rPr>
          <w:rFonts w:ascii="Arial" w:hAnsi="Arial" w:cs="Arial"/>
          <w:bCs/>
          <w:sz w:val="24"/>
          <w:szCs w:val="24"/>
        </w:rPr>
        <w:t>que</w:t>
      </w:r>
      <w:r>
        <w:rPr>
          <w:rFonts w:ascii="Arial" w:hAnsi="Arial" w:cs="Arial"/>
          <w:bCs/>
          <w:sz w:val="24"/>
          <w:szCs w:val="24"/>
        </w:rPr>
        <w:t xml:space="preserve"> se designa</w:t>
      </w:r>
      <w:r w:rsidR="003D4BBF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 xml:space="preserve"> a los servidores públicos del Grupo, con base en lo expresado en </w:t>
      </w:r>
      <w:r w:rsidR="007751A5">
        <w:rPr>
          <w:rFonts w:ascii="Arial" w:hAnsi="Arial" w:cs="Arial"/>
          <w:bCs/>
          <w:sz w:val="24"/>
          <w:szCs w:val="24"/>
        </w:rPr>
        <w:t>el</w:t>
      </w:r>
      <w:r>
        <w:rPr>
          <w:rFonts w:ascii="Arial" w:hAnsi="Arial" w:cs="Arial"/>
          <w:bCs/>
          <w:sz w:val="24"/>
          <w:szCs w:val="24"/>
        </w:rPr>
        <w:t xml:space="preserve"> artículo </w:t>
      </w:r>
      <w:r w:rsidR="00C4245F">
        <w:rPr>
          <w:rFonts w:ascii="Arial" w:hAnsi="Arial" w:cs="Arial"/>
          <w:bCs/>
          <w:sz w:val="24"/>
          <w:szCs w:val="24"/>
        </w:rPr>
        <w:t>50 de la Ley General de Archivos</w:t>
      </w:r>
      <w:r w:rsidR="00E926AD">
        <w:rPr>
          <w:rFonts w:ascii="Arial" w:hAnsi="Arial" w:cs="Arial"/>
          <w:bCs/>
          <w:sz w:val="24"/>
          <w:szCs w:val="24"/>
        </w:rPr>
        <w:t>.</w:t>
      </w:r>
    </w:p>
    <w:p w14:paraId="0B7D68C4" w14:textId="08DC14A5" w:rsidR="00E926AD" w:rsidRDefault="00E926AD" w:rsidP="00DC15F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5C212C9" w14:textId="36AA7C9D" w:rsidR="003D4BBF" w:rsidRDefault="00E926AD" w:rsidP="00DC15F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El 18 de septiembre de 2020</w:t>
      </w:r>
      <w:r w:rsidR="00D30FE4">
        <w:rPr>
          <w:rFonts w:ascii="Arial" w:hAnsi="Arial" w:cs="Arial"/>
          <w:bCs/>
          <w:sz w:val="24"/>
          <w:szCs w:val="24"/>
        </w:rPr>
        <w:t>, en la primera sesión del Grupo Interdisciplinario en Materia de Archivo</w:t>
      </w:r>
      <w:r w:rsidR="00B6700B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se conforma</w:t>
      </w:r>
      <w:r w:rsidR="00D30FE4">
        <w:rPr>
          <w:rFonts w:ascii="Arial" w:hAnsi="Arial" w:cs="Arial"/>
          <w:bCs/>
          <w:sz w:val="24"/>
          <w:szCs w:val="24"/>
        </w:rPr>
        <w:t xml:space="preserve"> y se instala</w:t>
      </w:r>
      <w:r>
        <w:rPr>
          <w:rFonts w:ascii="Arial" w:hAnsi="Arial" w:cs="Arial"/>
          <w:bCs/>
          <w:sz w:val="24"/>
          <w:szCs w:val="24"/>
        </w:rPr>
        <w:t xml:space="preserve"> el Sistema Institucional</w:t>
      </w:r>
      <w:r w:rsidR="001C647C">
        <w:rPr>
          <w:rFonts w:ascii="Arial" w:hAnsi="Arial" w:cs="Arial"/>
          <w:bCs/>
          <w:sz w:val="24"/>
          <w:szCs w:val="24"/>
        </w:rPr>
        <w:t xml:space="preserve"> de Archivos</w:t>
      </w:r>
      <w:r>
        <w:rPr>
          <w:rFonts w:ascii="Arial" w:hAnsi="Arial" w:cs="Arial"/>
          <w:bCs/>
          <w:sz w:val="24"/>
          <w:szCs w:val="24"/>
        </w:rPr>
        <w:t xml:space="preserve"> de la Comisión Estatal de Derechos Humanos de Veracruz</w:t>
      </w:r>
      <w:r w:rsidR="00D30FE4">
        <w:rPr>
          <w:rFonts w:ascii="Arial" w:hAnsi="Arial" w:cs="Arial"/>
          <w:bCs/>
          <w:sz w:val="24"/>
          <w:szCs w:val="24"/>
        </w:rPr>
        <w:t xml:space="preserve">, dando cabal cumplimiento a lo establecido en </w:t>
      </w:r>
      <w:r w:rsidR="00502A6F">
        <w:rPr>
          <w:rFonts w:ascii="Arial" w:hAnsi="Arial" w:cs="Arial"/>
          <w:bCs/>
          <w:sz w:val="24"/>
          <w:szCs w:val="24"/>
        </w:rPr>
        <w:t>el artículo 21 y Décimo Primero Transitorio de la Ley General de Archivos.</w:t>
      </w:r>
      <w:r w:rsidR="00830348">
        <w:rPr>
          <w:rFonts w:ascii="Arial" w:hAnsi="Arial" w:cs="Arial"/>
          <w:bCs/>
          <w:sz w:val="24"/>
          <w:szCs w:val="24"/>
        </w:rPr>
        <w:t xml:space="preserve"> </w:t>
      </w:r>
    </w:p>
    <w:p w14:paraId="026FD969" w14:textId="17F44513" w:rsidR="00830348" w:rsidRDefault="00830348" w:rsidP="00DC15F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9082089" w14:textId="3494B91A" w:rsidR="00594F37" w:rsidRDefault="00830348" w:rsidP="00594F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El 27 de noviembre de</w:t>
      </w:r>
      <w:r w:rsidR="001C647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2020 se </w:t>
      </w:r>
      <w:r w:rsidR="008512AD">
        <w:rPr>
          <w:rFonts w:ascii="Arial" w:hAnsi="Arial" w:cs="Arial"/>
          <w:bCs/>
          <w:sz w:val="24"/>
          <w:szCs w:val="24"/>
        </w:rPr>
        <w:t>inscribieron 32 archivos de trámite al Registro Nacional de Archivo</w:t>
      </w:r>
      <w:r w:rsidR="000F270D">
        <w:rPr>
          <w:rFonts w:ascii="Arial" w:hAnsi="Arial" w:cs="Arial"/>
          <w:bCs/>
          <w:sz w:val="24"/>
          <w:szCs w:val="24"/>
        </w:rPr>
        <w:t>s</w:t>
      </w:r>
      <w:r w:rsidR="008512AD">
        <w:rPr>
          <w:rFonts w:ascii="Arial" w:hAnsi="Arial" w:cs="Arial"/>
          <w:bCs/>
          <w:sz w:val="24"/>
          <w:szCs w:val="24"/>
        </w:rPr>
        <w:t xml:space="preserve">, dando cumplimiento </w:t>
      </w:r>
      <w:r w:rsidR="00B12350">
        <w:rPr>
          <w:rFonts w:ascii="Arial" w:hAnsi="Arial" w:cs="Arial"/>
          <w:bCs/>
          <w:sz w:val="24"/>
          <w:szCs w:val="24"/>
        </w:rPr>
        <w:t>al artículo 79 de la Ley General de Archivos</w:t>
      </w:r>
      <w:r w:rsidR="001040F0">
        <w:rPr>
          <w:rFonts w:ascii="Arial" w:hAnsi="Arial" w:cs="Arial"/>
          <w:bCs/>
          <w:sz w:val="24"/>
          <w:szCs w:val="24"/>
        </w:rPr>
        <w:t>. Con ello</w:t>
      </w:r>
      <w:r w:rsidR="008F279A">
        <w:rPr>
          <w:rFonts w:ascii="Arial" w:hAnsi="Arial" w:cs="Arial"/>
          <w:bCs/>
          <w:sz w:val="24"/>
          <w:szCs w:val="24"/>
        </w:rPr>
        <w:t xml:space="preserve"> </w:t>
      </w:r>
      <w:r w:rsidR="000F270D">
        <w:rPr>
          <w:rFonts w:ascii="Arial" w:hAnsi="Arial" w:cs="Arial"/>
          <w:bCs/>
          <w:sz w:val="24"/>
          <w:szCs w:val="24"/>
        </w:rPr>
        <w:t xml:space="preserve">se obtuvo </w:t>
      </w:r>
      <w:r w:rsidR="00B403D4">
        <w:rPr>
          <w:rFonts w:ascii="Arial" w:hAnsi="Arial" w:cs="Arial"/>
          <w:bCs/>
          <w:sz w:val="24"/>
          <w:szCs w:val="24"/>
        </w:rPr>
        <w:t xml:space="preserve">el </w:t>
      </w:r>
      <w:r w:rsidR="00DA707C">
        <w:rPr>
          <w:rFonts w:ascii="Arial" w:hAnsi="Arial" w:cs="Arial"/>
          <w:bCs/>
          <w:sz w:val="24"/>
          <w:szCs w:val="24"/>
        </w:rPr>
        <w:t>registro</w:t>
      </w:r>
      <w:r w:rsidR="00B403D4">
        <w:rPr>
          <w:rFonts w:ascii="Arial" w:hAnsi="Arial" w:cs="Arial"/>
          <w:bCs/>
          <w:sz w:val="24"/>
          <w:szCs w:val="24"/>
        </w:rPr>
        <w:t xml:space="preserve"> </w:t>
      </w:r>
      <w:r w:rsidR="000F270D">
        <w:rPr>
          <w:rFonts w:ascii="Arial" w:hAnsi="Arial" w:cs="Arial"/>
          <w:bCs/>
          <w:sz w:val="24"/>
          <w:szCs w:val="24"/>
        </w:rPr>
        <w:t>MX/219/27112020, el cual debe</w:t>
      </w:r>
      <w:r w:rsidR="00B403D4">
        <w:rPr>
          <w:rFonts w:ascii="Arial" w:hAnsi="Arial" w:cs="Arial"/>
          <w:bCs/>
          <w:sz w:val="24"/>
          <w:szCs w:val="24"/>
        </w:rPr>
        <w:t xml:space="preserve"> actualizarse anualmente. P</w:t>
      </w:r>
      <w:r w:rsidR="008F279A">
        <w:rPr>
          <w:rFonts w:ascii="Arial" w:hAnsi="Arial" w:cs="Arial"/>
          <w:bCs/>
          <w:sz w:val="24"/>
          <w:szCs w:val="24"/>
        </w:rPr>
        <w:t xml:space="preserve">ara el ejercicio 2021 no fue posible </w:t>
      </w:r>
      <w:r w:rsidR="00B403D4">
        <w:rPr>
          <w:rFonts w:ascii="Arial" w:hAnsi="Arial" w:cs="Arial"/>
          <w:bCs/>
          <w:sz w:val="24"/>
          <w:szCs w:val="24"/>
        </w:rPr>
        <w:t>refrendar la inscripción debido a que la Plataforma fue cerrada</w:t>
      </w:r>
      <w:r w:rsidR="00AF4B6A">
        <w:rPr>
          <w:rFonts w:ascii="Arial" w:hAnsi="Arial" w:cs="Arial"/>
          <w:bCs/>
          <w:sz w:val="24"/>
          <w:szCs w:val="24"/>
        </w:rPr>
        <w:t xml:space="preserve">, por lo que con fecha </w:t>
      </w:r>
      <w:r w:rsidR="000F270D">
        <w:rPr>
          <w:rFonts w:ascii="Arial" w:hAnsi="Arial" w:cs="Arial"/>
          <w:bCs/>
          <w:sz w:val="24"/>
          <w:szCs w:val="24"/>
        </w:rPr>
        <w:t xml:space="preserve">19 de septiembre de 2022 se </w:t>
      </w:r>
      <w:r w:rsidR="006E4DC2">
        <w:rPr>
          <w:rFonts w:ascii="Arial" w:hAnsi="Arial" w:cs="Arial"/>
          <w:bCs/>
          <w:sz w:val="24"/>
          <w:szCs w:val="24"/>
        </w:rPr>
        <w:t>llevó</w:t>
      </w:r>
      <w:r w:rsidR="000F270D">
        <w:rPr>
          <w:rFonts w:ascii="Arial" w:hAnsi="Arial" w:cs="Arial"/>
          <w:bCs/>
          <w:sz w:val="24"/>
          <w:szCs w:val="24"/>
        </w:rPr>
        <w:t xml:space="preserve"> a cabo el refrendo, obteniendo el código de registro MX/219/19092022</w:t>
      </w:r>
      <w:r w:rsidR="007D3CBD">
        <w:rPr>
          <w:rFonts w:ascii="Arial" w:hAnsi="Arial" w:cs="Arial"/>
          <w:bCs/>
          <w:sz w:val="24"/>
          <w:szCs w:val="24"/>
        </w:rPr>
        <w:t>.</w:t>
      </w:r>
      <w:r w:rsidR="007F5B4E" w:rsidRPr="007F5B4E">
        <w:rPr>
          <w:rFonts w:ascii="Arial" w:hAnsi="Arial" w:cs="Arial"/>
          <w:bCs/>
          <w:sz w:val="24"/>
          <w:szCs w:val="24"/>
        </w:rPr>
        <w:t xml:space="preserve"> </w:t>
      </w:r>
      <w:r w:rsidR="007D3CBD">
        <w:rPr>
          <w:rFonts w:ascii="Arial" w:hAnsi="Arial" w:cs="Arial"/>
          <w:bCs/>
          <w:sz w:val="24"/>
          <w:szCs w:val="24"/>
        </w:rPr>
        <w:t>E</w:t>
      </w:r>
      <w:r w:rsidR="007F5B4E" w:rsidRPr="007F5B4E">
        <w:rPr>
          <w:rFonts w:ascii="Arial" w:hAnsi="Arial" w:cs="Arial"/>
          <w:bCs/>
          <w:sz w:val="24"/>
          <w:szCs w:val="24"/>
        </w:rPr>
        <w:t xml:space="preserve">l </w:t>
      </w:r>
      <w:r w:rsidR="007F5B4E">
        <w:rPr>
          <w:rFonts w:ascii="Arial" w:hAnsi="Arial" w:cs="Arial"/>
          <w:bCs/>
          <w:sz w:val="24"/>
          <w:szCs w:val="24"/>
        </w:rPr>
        <w:t>16 de octubre de 2023 se realizó el</w:t>
      </w:r>
      <w:r w:rsidR="007D3CBD">
        <w:rPr>
          <w:rFonts w:ascii="Arial" w:hAnsi="Arial" w:cs="Arial"/>
          <w:bCs/>
          <w:sz w:val="24"/>
          <w:szCs w:val="24"/>
        </w:rPr>
        <w:t xml:space="preserve"> </w:t>
      </w:r>
      <w:r w:rsidR="007F5B4E">
        <w:rPr>
          <w:rFonts w:ascii="Arial" w:hAnsi="Arial" w:cs="Arial"/>
          <w:bCs/>
          <w:sz w:val="24"/>
          <w:szCs w:val="24"/>
        </w:rPr>
        <w:t>refrendo</w:t>
      </w:r>
      <w:r w:rsidR="007D3CBD">
        <w:rPr>
          <w:rFonts w:ascii="Arial" w:hAnsi="Arial" w:cs="Arial"/>
          <w:bCs/>
          <w:sz w:val="24"/>
          <w:szCs w:val="24"/>
        </w:rPr>
        <w:t xml:space="preserve"> correspondiente, obteniendo</w:t>
      </w:r>
      <w:r w:rsidR="007F5B4E">
        <w:rPr>
          <w:rFonts w:ascii="Arial" w:hAnsi="Arial" w:cs="Arial"/>
          <w:bCs/>
          <w:sz w:val="24"/>
          <w:szCs w:val="24"/>
        </w:rPr>
        <w:t xml:space="preserve"> el código de registro MX/219/16102023</w:t>
      </w:r>
      <w:r w:rsidR="00D2718C">
        <w:rPr>
          <w:rFonts w:ascii="Arial" w:hAnsi="Arial" w:cs="Arial"/>
          <w:bCs/>
          <w:sz w:val="24"/>
          <w:szCs w:val="24"/>
        </w:rPr>
        <w:t>.</w:t>
      </w:r>
    </w:p>
    <w:p w14:paraId="567E5ECF" w14:textId="77777777" w:rsidR="00594F37" w:rsidRDefault="00594F37" w:rsidP="00DC15F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47156A5" w14:textId="1C97C7DA" w:rsidR="00AE0248" w:rsidRPr="00C50026" w:rsidRDefault="00D36A32" w:rsidP="00C5002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E</w:t>
      </w:r>
      <w:r w:rsidR="000342A7">
        <w:rPr>
          <w:rFonts w:ascii="Arial" w:hAnsi="Arial" w:cs="Arial"/>
          <w:bCs/>
          <w:sz w:val="24"/>
          <w:szCs w:val="24"/>
        </w:rPr>
        <w:t>l año</w:t>
      </w:r>
      <w:r w:rsidR="00E42B71">
        <w:rPr>
          <w:rFonts w:ascii="Arial" w:hAnsi="Arial" w:cs="Arial"/>
          <w:bCs/>
          <w:sz w:val="24"/>
          <w:szCs w:val="24"/>
        </w:rPr>
        <w:t xml:space="preserve"> 2021</w:t>
      </w:r>
      <w:r w:rsidR="00116BEC">
        <w:rPr>
          <w:rFonts w:ascii="Arial" w:hAnsi="Arial" w:cs="Arial"/>
          <w:bCs/>
          <w:sz w:val="24"/>
          <w:szCs w:val="24"/>
        </w:rPr>
        <w:t>,</w:t>
      </w:r>
      <w:r w:rsidR="000342A7">
        <w:rPr>
          <w:rFonts w:ascii="Arial" w:hAnsi="Arial" w:cs="Arial"/>
          <w:bCs/>
          <w:sz w:val="24"/>
          <w:szCs w:val="24"/>
        </w:rPr>
        <w:t xml:space="preserve"> se solicitó</w:t>
      </w:r>
      <w:r w:rsidR="00C651D2">
        <w:rPr>
          <w:rFonts w:ascii="Arial" w:hAnsi="Arial" w:cs="Arial"/>
          <w:bCs/>
          <w:sz w:val="24"/>
          <w:szCs w:val="24"/>
        </w:rPr>
        <w:t xml:space="preserve"> la</w:t>
      </w:r>
      <w:r w:rsidR="001040F0">
        <w:rPr>
          <w:rFonts w:ascii="Arial" w:hAnsi="Arial" w:cs="Arial"/>
          <w:bCs/>
          <w:sz w:val="24"/>
          <w:szCs w:val="24"/>
        </w:rPr>
        <w:t xml:space="preserve"> dictaminación de</w:t>
      </w:r>
      <w:r w:rsidR="00C651D2">
        <w:rPr>
          <w:rFonts w:ascii="Arial" w:hAnsi="Arial" w:cs="Arial"/>
          <w:bCs/>
          <w:sz w:val="24"/>
          <w:szCs w:val="24"/>
        </w:rPr>
        <w:t xml:space="preserve"> baja documental</w:t>
      </w:r>
      <w:r w:rsidR="00E42B71">
        <w:rPr>
          <w:rFonts w:ascii="Arial" w:hAnsi="Arial" w:cs="Arial"/>
          <w:bCs/>
          <w:sz w:val="24"/>
          <w:szCs w:val="24"/>
        </w:rPr>
        <w:t xml:space="preserve"> </w:t>
      </w:r>
      <w:r w:rsidR="000342A7">
        <w:rPr>
          <w:rFonts w:ascii="Arial" w:hAnsi="Arial" w:cs="Arial"/>
          <w:bCs/>
          <w:sz w:val="24"/>
          <w:szCs w:val="24"/>
        </w:rPr>
        <w:t>al</w:t>
      </w:r>
      <w:r w:rsidR="00E42B71">
        <w:rPr>
          <w:rFonts w:ascii="Arial" w:hAnsi="Arial" w:cs="Arial"/>
          <w:bCs/>
          <w:sz w:val="24"/>
          <w:szCs w:val="24"/>
        </w:rPr>
        <w:t xml:space="preserve"> Archivo General del Estado</w:t>
      </w:r>
      <w:r>
        <w:rPr>
          <w:rFonts w:ascii="Arial" w:hAnsi="Arial" w:cs="Arial"/>
          <w:bCs/>
          <w:sz w:val="24"/>
          <w:szCs w:val="24"/>
        </w:rPr>
        <w:t>,</w:t>
      </w:r>
      <w:r w:rsidR="00E42B71">
        <w:rPr>
          <w:rFonts w:ascii="Arial" w:hAnsi="Arial" w:cs="Arial"/>
          <w:bCs/>
          <w:sz w:val="24"/>
          <w:szCs w:val="24"/>
        </w:rPr>
        <w:t xml:space="preserve"> </w:t>
      </w:r>
      <w:r w:rsidR="001040F0">
        <w:rPr>
          <w:rFonts w:ascii="Arial" w:hAnsi="Arial" w:cs="Arial"/>
          <w:bCs/>
          <w:sz w:val="24"/>
          <w:szCs w:val="24"/>
        </w:rPr>
        <w:t>e</w:t>
      </w:r>
      <w:r w:rsidR="000342A7">
        <w:rPr>
          <w:rFonts w:ascii="Arial" w:hAnsi="Arial" w:cs="Arial"/>
          <w:bCs/>
          <w:sz w:val="24"/>
          <w:szCs w:val="24"/>
        </w:rPr>
        <w:t>nte que</w:t>
      </w:r>
      <w:r w:rsidR="001040F0">
        <w:rPr>
          <w:rFonts w:ascii="Arial" w:hAnsi="Arial" w:cs="Arial"/>
          <w:bCs/>
          <w:sz w:val="24"/>
          <w:szCs w:val="24"/>
        </w:rPr>
        <w:t xml:space="preserve"> </w:t>
      </w:r>
      <w:r w:rsidR="00C651D2">
        <w:rPr>
          <w:rFonts w:ascii="Arial" w:hAnsi="Arial" w:cs="Arial"/>
          <w:bCs/>
          <w:sz w:val="24"/>
          <w:szCs w:val="24"/>
        </w:rPr>
        <w:t xml:space="preserve">informó que </w:t>
      </w:r>
      <w:r w:rsidR="00A90AAF">
        <w:rPr>
          <w:rFonts w:ascii="Arial" w:hAnsi="Arial" w:cs="Arial"/>
          <w:bCs/>
          <w:sz w:val="24"/>
          <w:szCs w:val="24"/>
        </w:rPr>
        <w:t>de acuerdo a lo establecido en el artículo 106 fracción VI de la Ley General de Archivo</w:t>
      </w:r>
      <w:r w:rsidR="00C50026">
        <w:rPr>
          <w:rFonts w:ascii="Arial" w:hAnsi="Arial" w:cs="Arial"/>
          <w:bCs/>
          <w:sz w:val="24"/>
          <w:szCs w:val="24"/>
        </w:rPr>
        <w:t>s</w:t>
      </w:r>
      <w:r w:rsidR="008167D3">
        <w:rPr>
          <w:rFonts w:ascii="Arial" w:hAnsi="Arial" w:cs="Arial"/>
          <w:bCs/>
          <w:sz w:val="24"/>
          <w:szCs w:val="24"/>
        </w:rPr>
        <w:t xml:space="preserve"> no le corresponde emitir el dictamen de la baja documental </w:t>
      </w:r>
      <w:r w:rsidR="00C50026">
        <w:rPr>
          <w:rFonts w:ascii="Arial" w:hAnsi="Arial" w:cs="Arial"/>
          <w:bCs/>
          <w:sz w:val="24"/>
          <w:szCs w:val="24"/>
        </w:rPr>
        <w:t>a los organismos autónomos. E</w:t>
      </w:r>
      <w:r w:rsidR="00ED48C4" w:rsidRPr="00187AF1">
        <w:rPr>
          <w:rFonts w:ascii="Arial" w:hAnsi="Arial" w:cs="Arial"/>
          <w:bCs/>
          <w:sz w:val="24"/>
          <w:szCs w:val="24"/>
        </w:rPr>
        <w:t>l</w:t>
      </w:r>
      <w:r w:rsidR="00807BDA" w:rsidRPr="00187AF1">
        <w:rPr>
          <w:rFonts w:ascii="Arial" w:hAnsi="Arial" w:cs="Arial"/>
          <w:bCs/>
          <w:sz w:val="24"/>
          <w:szCs w:val="24"/>
        </w:rPr>
        <w:t xml:space="preserve"> Grupo Interdisciplinario en Materia de Archivos</w:t>
      </w:r>
      <w:r w:rsidR="00952D68" w:rsidRPr="00187AF1">
        <w:rPr>
          <w:rFonts w:ascii="Arial" w:hAnsi="Arial" w:cs="Arial"/>
          <w:bCs/>
          <w:sz w:val="24"/>
          <w:szCs w:val="24"/>
        </w:rPr>
        <w:t>,</w:t>
      </w:r>
      <w:r w:rsidR="00807BDA" w:rsidRPr="00187AF1">
        <w:rPr>
          <w:rFonts w:ascii="Arial" w:hAnsi="Arial" w:cs="Arial"/>
          <w:bCs/>
          <w:sz w:val="24"/>
          <w:szCs w:val="24"/>
        </w:rPr>
        <w:t xml:space="preserve"> </w:t>
      </w:r>
      <w:r w:rsidR="00ED48C4" w:rsidRPr="00187AF1">
        <w:rPr>
          <w:rFonts w:ascii="Arial" w:hAnsi="Arial" w:cs="Arial"/>
          <w:bCs/>
          <w:sz w:val="24"/>
          <w:szCs w:val="24"/>
        </w:rPr>
        <w:t>realiz</w:t>
      </w:r>
      <w:r w:rsidR="00C50026">
        <w:rPr>
          <w:rFonts w:ascii="Arial" w:hAnsi="Arial" w:cs="Arial"/>
          <w:bCs/>
          <w:sz w:val="24"/>
          <w:szCs w:val="24"/>
        </w:rPr>
        <w:t>ó</w:t>
      </w:r>
      <w:r w:rsidR="00ED48C4" w:rsidRPr="00187AF1">
        <w:rPr>
          <w:rFonts w:ascii="Arial" w:hAnsi="Arial" w:cs="Arial"/>
          <w:bCs/>
          <w:sz w:val="24"/>
          <w:szCs w:val="24"/>
        </w:rPr>
        <w:t xml:space="preserve"> </w:t>
      </w:r>
      <w:r w:rsidR="00FA2C09" w:rsidRPr="00187AF1">
        <w:rPr>
          <w:rFonts w:ascii="Arial" w:hAnsi="Arial" w:cs="Arial"/>
          <w:bCs/>
          <w:sz w:val="24"/>
          <w:szCs w:val="24"/>
        </w:rPr>
        <w:t>una consulta</w:t>
      </w:r>
      <w:r w:rsidR="00E55BBC" w:rsidRPr="00187AF1">
        <w:rPr>
          <w:rFonts w:ascii="Arial" w:hAnsi="Arial" w:cs="Arial"/>
          <w:bCs/>
          <w:sz w:val="24"/>
          <w:szCs w:val="24"/>
        </w:rPr>
        <w:t xml:space="preserve"> </w:t>
      </w:r>
      <w:r w:rsidR="001040F0">
        <w:rPr>
          <w:rFonts w:ascii="Arial" w:hAnsi="Arial" w:cs="Arial"/>
          <w:bCs/>
          <w:sz w:val="24"/>
          <w:szCs w:val="24"/>
        </w:rPr>
        <w:t>al</w:t>
      </w:r>
      <w:r w:rsidR="00472982" w:rsidRPr="00187AF1">
        <w:rPr>
          <w:rFonts w:ascii="Arial" w:hAnsi="Arial" w:cs="Arial"/>
          <w:bCs/>
          <w:sz w:val="24"/>
          <w:szCs w:val="24"/>
        </w:rPr>
        <w:t xml:space="preserve"> Archivo General de la Nación</w:t>
      </w:r>
      <w:r w:rsidR="00E55BBC" w:rsidRPr="00187AF1">
        <w:rPr>
          <w:rFonts w:ascii="Arial" w:hAnsi="Arial" w:cs="Arial"/>
          <w:bCs/>
          <w:sz w:val="24"/>
          <w:szCs w:val="24"/>
        </w:rPr>
        <w:t>,</w:t>
      </w:r>
      <w:r w:rsidR="007765EE">
        <w:rPr>
          <w:rFonts w:ascii="Arial" w:hAnsi="Arial" w:cs="Arial"/>
          <w:sz w:val="24"/>
          <w:szCs w:val="24"/>
        </w:rPr>
        <w:t xml:space="preserve"> en la que se indica que es </w:t>
      </w:r>
      <w:r w:rsidR="0005791B" w:rsidRPr="00187AF1">
        <w:rPr>
          <w:rFonts w:ascii="Arial" w:hAnsi="Arial" w:cs="Arial"/>
          <w:sz w:val="24"/>
          <w:szCs w:val="24"/>
        </w:rPr>
        <w:t>jurídicamente</w:t>
      </w:r>
      <w:r w:rsidR="002C7A63" w:rsidRPr="00187AF1">
        <w:rPr>
          <w:rFonts w:ascii="Arial" w:hAnsi="Arial" w:cs="Arial"/>
          <w:sz w:val="24"/>
          <w:szCs w:val="24"/>
        </w:rPr>
        <w:t xml:space="preserve"> viable que un Organismo Constitucional Autónomo </w:t>
      </w:r>
      <w:r w:rsidR="00185292" w:rsidRPr="00187AF1">
        <w:rPr>
          <w:rFonts w:ascii="Arial" w:hAnsi="Arial" w:cs="Arial"/>
          <w:sz w:val="24"/>
          <w:szCs w:val="24"/>
        </w:rPr>
        <w:t>autorregule</w:t>
      </w:r>
      <w:r w:rsidR="0005791B" w:rsidRPr="00187AF1">
        <w:rPr>
          <w:rFonts w:ascii="Arial" w:hAnsi="Arial" w:cs="Arial"/>
          <w:sz w:val="24"/>
          <w:szCs w:val="24"/>
        </w:rPr>
        <w:t xml:space="preserve"> los procedimientos de destino final </w:t>
      </w:r>
      <w:r w:rsidR="00770E94" w:rsidRPr="00187AF1">
        <w:rPr>
          <w:rFonts w:ascii="Arial" w:hAnsi="Arial" w:cs="Arial"/>
          <w:sz w:val="24"/>
          <w:szCs w:val="24"/>
        </w:rPr>
        <w:t>de su documentación</w:t>
      </w:r>
      <w:r w:rsidR="007765EE">
        <w:rPr>
          <w:rFonts w:ascii="Arial" w:hAnsi="Arial" w:cs="Arial"/>
          <w:sz w:val="24"/>
          <w:szCs w:val="24"/>
        </w:rPr>
        <w:t>.</w:t>
      </w:r>
    </w:p>
    <w:p w14:paraId="0CE1169E" w14:textId="57FF5FFD" w:rsidR="002E1A94" w:rsidRDefault="002E1A94" w:rsidP="002E1A9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47E1E02" w14:textId="5C9A9F35" w:rsidR="007765EE" w:rsidRDefault="00743BBD" w:rsidP="007765EE">
      <w:pPr>
        <w:spacing w:before="120" w:after="120" w:line="240" w:lineRule="auto"/>
        <w:jc w:val="both"/>
        <w:rPr>
          <w:rFonts w:ascii="Arial" w:hAnsi="Arial" w:cs="Arial"/>
          <w:bCs/>
          <w:szCs w:val="24"/>
        </w:rPr>
      </w:pPr>
      <w:r w:rsidRPr="00FD6125">
        <w:rPr>
          <w:rFonts w:ascii="Arial" w:hAnsi="Arial" w:cs="Arial"/>
          <w:sz w:val="24"/>
          <w:szCs w:val="24"/>
        </w:rPr>
        <w:t>Por lo anterior</w:t>
      </w:r>
      <w:r w:rsidR="001040F0" w:rsidRPr="00FD6125">
        <w:rPr>
          <w:rFonts w:ascii="Arial" w:hAnsi="Arial" w:cs="Arial"/>
          <w:sz w:val="24"/>
          <w:szCs w:val="24"/>
        </w:rPr>
        <w:t>,</w:t>
      </w:r>
      <w:r w:rsidRPr="00FD6125">
        <w:rPr>
          <w:rFonts w:ascii="Arial" w:hAnsi="Arial" w:cs="Arial"/>
          <w:sz w:val="24"/>
          <w:szCs w:val="24"/>
        </w:rPr>
        <w:t xml:space="preserve"> en la Primera Sesión Ordinaria</w:t>
      </w:r>
      <w:r w:rsidR="00BC12E3" w:rsidRPr="00FD6125">
        <w:rPr>
          <w:rFonts w:ascii="Arial" w:hAnsi="Arial" w:cs="Arial"/>
          <w:sz w:val="24"/>
          <w:szCs w:val="24"/>
        </w:rPr>
        <w:t xml:space="preserve"> del</w:t>
      </w:r>
      <w:r w:rsidRPr="00FD6125">
        <w:rPr>
          <w:rFonts w:ascii="Arial" w:hAnsi="Arial" w:cs="Arial"/>
          <w:sz w:val="24"/>
          <w:szCs w:val="24"/>
        </w:rPr>
        <w:t xml:space="preserve"> Grupo Interdisciplinario en Materia de Archivos</w:t>
      </w:r>
      <w:r w:rsidR="00C054AC">
        <w:rPr>
          <w:rFonts w:ascii="Arial" w:hAnsi="Arial" w:cs="Arial"/>
          <w:sz w:val="24"/>
          <w:szCs w:val="24"/>
        </w:rPr>
        <w:t xml:space="preserve"> del</w:t>
      </w:r>
      <w:r w:rsidR="000651DE" w:rsidRPr="00FD6125">
        <w:rPr>
          <w:rFonts w:ascii="Arial" w:hAnsi="Arial" w:cs="Arial"/>
          <w:sz w:val="24"/>
          <w:szCs w:val="24"/>
        </w:rPr>
        <w:t xml:space="preserve"> 2022</w:t>
      </w:r>
      <w:r w:rsidR="00C054AC">
        <w:rPr>
          <w:rFonts w:ascii="Arial" w:hAnsi="Arial" w:cs="Arial"/>
          <w:sz w:val="24"/>
          <w:szCs w:val="24"/>
        </w:rPr>
        <w:t>,</w:t>
      </w:r>
      <w:r w:rsidR="000651DE" w:rsidRPr="00FD6125">
        <w:rPr>
          <w:rFonts w:ascii="Arial" w:hAnsi="Arial" w:cs="Arial"/>
          <w:sz w:val="24"/>
          <w:szCs w:val="24"/>
        </w:rPr>
        <w:t xml:space="preserve"> se aprobaron las</w:t>
      </w:r>
      <w:r w:rsidR="007C139F" w:rsidRPr="00FD6125">
        <w:rPr>
          <w:rFonts w:ascii="Arial" w:hAnsi="Arial" w:cs="Arial"/>
          <w:bCs/>
          <w:sz w:val="24"/>
          <w:szCs w:val="24"/>
        </w:rPr>
        <w:t xml:space="preserve"> Reglas de Operación del Grupo Interdisciplinario en Materia de Archivos de la Comisión Estatal de Derechos Humanos de Veracruz</w:t>
      </w:r>
      <w:r w:rsidR="008865B3" w:rsidRPr="00FD6125">
        <w:rPr>
          <w:rFonts w:ascii="Arial" w:hAnsi="Arial" w:cs="Arial"/>
          <w:bCs/>
          <w:sz w:val="24"/>
          <w:szCs w:val="24"/>
        </w:rPr>
        <w:t xml:space="preserve"> </w:t>
      </w:r>
      <w:r w:rsidR="00C054AC">
        <w:rPr>
          <w:rFonts w:ascii="Arial" w:hAnsi="Arial" w:cs="Arial"/>
          <w:bCs/>
          <w:sz w:val="24"/>
          <w:szCs w:val="24"/>
        </w:rPr>
        <w:t>publicadas</w:t>
      </w:r>
      <w:r w:rsidR="008865B3" w:rsidRPr="00FD6125">
        <w:rPr>
          <w:rFonts w:ascii="Arial" w:hAnsi="Arial" w:cs="Arial"/>
          <w:bCs/>
          <w:sz w:val="24"/>
          <w:szCs w:val="24"/>
        </w:rPr>
        <w:t xml:space="preserve"> en Gaceta </w:t>
      </w:r>
      <w:r w:rsidR="00CB2222" w:rsidRPr="00FD6125">
        <w:rPr>
          <w:rFonts w:ascii="Arial" w:hAnsi="Arial" w:cs="Arial"/>
          <w:bCs/>
          <w:sz w:val="24"/>
          <w:szCs w:val="24"/>
        </w:rPr>
        <w:t xml:space="preserve">Oficial del Estado Número Extraordinario </w:t>
      </w:r>
      <w:r w:rsidR="00537FE8" w:rsidRPr="00FD6125">
        <w:rPr>
          <w:rFonts w:ascii="Arial" w:hAnsi="Arial" w:cs="Arial"/>
          <w:bCs/>
          <w:sz w:val="24"/>
          <w:szCs w:val="24"/>
        </w:rPr>
        <w:t xml:space="preserve">338. </w:t>
      </w:r>
      <w:r w:rsidR="007765EE" w:rsidRPr="008542E6">
        <w:rPr>
          <w:rFonts w:ascii="Arial" w:hAnsi="Arial" w:cs="Arial"/>
          <w:bCs/>
          <w:sz w:val="24"/>
          <w:szCs w:val="24"/>
        </w:rPr>
        <w:t>El 15 de diciembre en la Segunda Sesión Ordinaria del Grupo Interdisciplinario en Materia de Archivos, se aprobaron los Lineamientos para la Gestión y Administración Documental de la Comisión Estatal de Derechos Humanos de Veracruz</w:t>
      </w:r>
      <w:r w:rsidR="00C054AC">
        <w:rPr>
          <w:rFonts w:ascii="Arial" w:hAnsi="Arial" w:cs="Arial"/>
          <w:bCs/>
          <w:sz w:val="24"/>
          <w:szCs w:val="24"/>
        </w:rPr>
        <w:t xml:space="preserve"> publicados en el Número Extraordinario número 66 de la mencionada Gaceta</w:t>
      </w:r>
      <w:r w:rsidR="007765EE">
        <w:rPr>
          <w:rFonts w:ascii="Arial" w:hAnsi="Arial" w:cs="Arial"/>
          <w:bCs/>
          <w:szCs w:val="24"/>
        </w:rPr>
        <w:t>.</w:t>
      </w:r>
    </w:p>
    <w:p w14:paraId="5B436BDC" w14:textId="55521269" w:rsidR="007C139F" w:rsidRPr="00FD6125" w:rsidRDefault="007C139F" w:rsidP="007C139F">
      <w:pPr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0545039" w14:textId="33BE88EF" w:rsidR="00EF2E9A" w:rsidRDefault="00EF2E9A" w:rsidP="00EF2E9A">
      <w:pPr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F2E9A">
        <w:rPr>
          <w:rFonts w:ascii="Arial" w:hAnsi="Arial" w:cs="Arial"/>
          <w:bCs/>
          <w:sz w:val="24"/>
          <w:szCs w:val="24"/>
        </w:rPr>
        <w:t>En octubre de 2022, el Instituto Veracruzano de Acceso a la Información y Protección de Datos Personales puso a disposición de los Organismos Autónomos la donación en forma gratuita, del software denominado S</w:t>
      </w:r>
      <w:r w:rsidR="007765EE">
        <w:rPr>
          <w:rFonts w:ascii="Arial" w:hAnsi="Arial" w:cs="Arial"/>
          <w:bCs/>
          <w:sz w:val="24"/>
          <w:szCs w:val="24"/>
        </w:rPr>
        <w:t>istema Automatizado de Gestión de Archivos “SAGA”.</w:t>
      </w:r>
    </w:p>
    <w:p w14:paraId="74F249F9" w14:textId="77777777" w:rsidR="00EF2E9A" w:rsidRDefault="00EF2E9A" w:rsidP="00EF2E9A">
      <w:pPr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576E56C" w14:textId="6768CFFC" w:rsidR="00EF2E9A" w:rsidRPr="00EF2E9A" w:rsidRDefault="00EF2E9A" w:rsidP="00EF2E9A">
      <w:pPr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F2E9A">
        <w:rPr>
          <w:rFonts w:ascii="Arial" w:hAnsi="Arial" w:cs="Arial"/>
          <w:bCs/>
          <w:sz w:val="24"/>
          <w:szCs w:val="24"/>
        </w:rPr>
        <w:t>Una vez que se hicieron las gestiones necesarias para contar con los requerimientos técnicos necesarios para su Instalación, mediante Oficio CEDHV/PRE/647/2022 la Comisión Estatal manifestó su interés para recibir la licencia y el software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EF2E9A">
        <w:rPr>
          <w:rFonts w:ascii="Arial" w:hAnsi="Arial" w:cs="Arial"/>
          <w:bCs/>
          <w:sz w:val="24"/>
          <w:szCs w:val="24"/>
        </w:rPr>
        <w:t>El 12 de diciembre de 2022, el IVAI envío vía correo electrónico, los datos para descargar el software.</w:t>
      </w:r>
    </w:p>
    <w:p w14:paraId="11E9C4AB" w14:textId="77777777" w:rsidR="00F83C76" w:rsidRDefault="00F83C76" w:rsidP="009E42A9">
      <w:pPr>
        <w:spacing w:before="120" w:after="120" w:line="240" w:lineRule="auto"/>
        <w:jc w:val="both"/>
        <w:rPr>
          <w:rFonts w:ascii="Arial" w:hAnsi="Arial" w:cs="Arial"/>
          <w:bCs/>
          <w:szCs w:val="24"/>
        </w:rPr>
      </w:pPr>
    </w:p>
    <w:p w14:paraId="09591900" w14:textId="09223AA9" w:rsidR="00F83C76" w:rsidRDefault="00F83C76" w:rsidP="009E42A9">
      <w:pPr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A0FBA">
        <w:rPr>
          <w:rFonts w:ascii="Arial" w:hAnsi="Arial" w:cs="Arial"/>
          <w:bCs/>
          <w:sz w:val="24"/>
          <w:szCs w:val="24"/>
        </w:rPr>
        <w:t xml:space="preserve">Una vez </w:t>
      </w:r>
      <w:r w:rsidR="005C4927">
        <w:rPr>
          <w:rFonts w:ascii="Arial" w:hAnsi="Arial" w:cs="Arial"/>
          <w:bCs/>
          <w:sz w:val="24"/>
          <w:szCs w:val="24"/>
        </w:rPr>
        <w:t>aprobadas</w:t>
      </w:r>
      <w:r w:rsidRPr="00CA0FBA">
        <w:rPr>
          <w:rFonts w:ascii="Arial" w:hAnsi="Arial" w:cs="Arial"/>
          <w:bCs/>
          <w:sz w:val="24"/>
          <w:szCs w:val="24"/>
        </w:rPr>
        <w:t xml:space="preserve"> las Reglas de Operación del Grupo Interdisciplinario en Materia de Archivos y los Lineamientos para la Gestión y Administración Documental de la Comisión Estatal de Derechos Humanos de Veracruz, se realizó la primera baja documental aprobada por el Grupo Interdisciplinario</w:t>
      </w:r>
      <w:r w:rsidR="00CA0FBA">
        <w:rPr>
          <w:rFonts w:ascii="Arial" w:hAnsi="Arial" w:cs="Arial"/>
          <w:bCs/>
          <w:sz w:val="24"/>
          <w:szCs w:val="24"/>
        </w:rPr>
        <w:t xml:space="preserve"> en Materia de Archivos de la Comisión Estatal de Derechos Humanos de Veracruz,</w:t>
      </w:r>
      <w:r w:rsidRPr="00CA0FBA">
        <w:rPr>
          <w:rFonts w:ascii="Arial" w:hAnsi="Arial" w:cs="Arial"/>
          <w:bCs/>
          <w:sz w:val="24"/>
          <w:szCs w:val="24"/>
        </w:rPr>
        <w:t xml:space="preserve"> en la </w:t>
      </w:r>
      <w:r w:rsidR="00CA0FBA">
        <w:rPr>
          <w:rFonts w:ascii="Arial" w:hAnsi="Arial" w:cs="Arial"/>
          <w:bCs/>
          <w:sz w:val="24"/>
          <w:szCs w:val="24"/>
        </w:rPr>
        <w:t xml:space="preserve">Segunda </w:t>
      </w:r>
      <w:r w:rsidRPr="00CA0FBA">
        <w:rPr>
          <w:rFonts w:ascii="Arial" w:hAnsi="Arial" w:cs="Arial"/>
          <w:bCs/>
          <w:sz w:val="24"/>
          <w:szCs w:val="24"/>
        </w:rPr>
        <w:t xml:space="preserve">Sesión extraordinaria </w:t>
      </w:r>
      <w:r w:rsidR="00CA0FBA">
        <w:rPr>
          <w:rFonts w:ascii="Arial" w:hAnsi="Arial" w:cs="Arial"/>
          <w:bCs/>
          <w:sz w:val="24"/>
          <w:szCs w:val="24"/>
        </w:rPr>
        <w:t xml:space="preserve">del </w:t>
      </w:r>
      <w:r w:rsidR="0082502C">
        <w:rPr>
          <w:rFonts w:ascii="Arial" w:hAnsi="Arial" w:cs="Arial"/>
          <w:bCs/>
          <w:sz w:val="24"/>
          <w:szCs w:val="24"/>
        </w:rPr>
        <w:t>07 de agosto de</w:t>
      </w:r>
      <w:r w:rsidR="00CA0FBA">
        <w:rPr>
          <w:rFonts w:ascii="Arial" w:hAnsi="Arial" w:cs="Arial"/>
          <w:bCs/>
          <w:sz w:val="24"/>
          <w:szCs w:val="24"/>
        </w:rPr>
        <w:t xml:space="preserve"> 2023, en la que se dieron de baja 71,612 expedientes que cumplieron con su vigencia documental. </w:t>
      </w:r>
    </w:p>
    <w:p w14:paraId="163458B8" w14:textId="77777777" w:rsidR="0082502C" w:rsidRDefault="0082502C" w:rsidP="009E42A9">
      <w:pPr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04F1488" w14:textId="6DC3F77E" w:rsidR="0082502C" w:rsidRDefault="0082502C" w:rsidP="009E42A9">
      <w:pPr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La última actualización a instrumentos de control archivístico se </w:t>
      </w:r>
      <w:r w:rsidR="005C4927">
        <w:rPr>
          <w:rFonts w:ascii="Arial" w:hAnsi="Arial" w:cs="Arial"/>
          <w:bCs/>
          <w:sz w:val="24"/>
          <w:szCs w:val="24"/>
        </w:rPr>
        <w:t>llevó</w:t>
      </w:r>
      <w:r>
        <w:rPr>
          <w:rFonts w:ascii="Arial" w:hAnsi="Arial" w:cs="Arial"/>
          <w:bCs/>
          <w:sz w:val="24"/>
          <w:szCs w:val="24"/>
        </w:rPr>
        <w:t xml:space="preserve"> a cabo en la primera sesión extraordinaria del 2023</w:t>
      </w:r>
      <w:r w:rsidR="004E0E65">
        <w:rPr>
          <w:rFonts w:ascii="Arial" w:hAnsi="Arial" w:cs="Arial"/>
          <w:bCs/>
          <w:sz w:val="24"/>
          <w:szCs w:val="24"/>
        </w:rPr>
        <w:t>, a petición de la Presidencia de la Comisión Estatal de Derechos Humanos</w:t>
      </w:r>
      <w:r w:rsidR="00F55A96">
        <w:rPr>
          <w:rFonts w:ascii="Arial" w:hAnsi="Arial" w:cs="Arial"/>
          <w:bCs/>
          <w:sz w:val="24"/>
          <w:szCs w:val="24"/>
        </w:rPr>
        <w:t xml:space="preserve"> de Veracruz</w:t>
      </w:r>
      <w:r w:rsidR="004E0E65">
        <w:rPr>
          <w:rFonts w:ascii="Arial" w:hAnsi="Arial" w:cs="Arial"/>
          <w:bCs/>
          <w:sz w:val="24"/>
          <w:szCs w:val="24"/>
        </w:rPr>
        <w:t>.</w:t>
      </w:r>
      <w:r w:rsidR="00F55A96" w:rsidRPr="00F55A96">
        <w:rPr>
          <w:rFonts w:ascii="Arial" w:hAnsi="Arial" w:cs="Arial"/>
          <w:bCs/>
          <w:sz w:val="24"/>
          <w:szCs w:val="24"/>
        </w:rPr>
        <w:t xml:space="preserve"> </w:t>
      </w:r>
      <w:r w:rsidR="00F55A96">
        <w:rPr>
          <w:rFonts w:ascii="Arial" w:hAnsi="Arial" w:cs="Arial"/>
          <w:bCs/>
          <w:sz w:val="24"/>
          <w:szCs w:val="24"/>
        </w:rPr>
        <w:t>se añadieron tres series documentales a las existentes</w:t>
      </w:r>
      <w:r w:rsidR="00F55A96">
        <w:rPr>
          <w:rFonts w:ascii="Arial" w:hAnsi="Arial" w:cs="Arial"/>
          <w:bCs/>
          <w:sz w:val="24"/>
          <w:szCs w:val="24"/>
        </w:rPr>
        <w:t>.</w:t>
      </w:r>
    </w:p>
    <w:p w14:paraId="5A6EC05B" w14:textId="77777777" w:rsidR="004E0E65" w:rsidRDefault="004E0E65" w:rsidP="009E42A9">
      <w:pPr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81EA763" w14:textId="67219E73" w:rsidR="004E0E65" w:rsidRPr="00CA0FBA" w:rsidRDefault="00F55A96" w:rsidP="009E42A9">
      <w:pPr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diciembre de </w:t>
      </w:r>
      <w:r w:rsidR="004E0E65">
        <w:rPr>
          <w:rFonts w:ascii="Arial" w:hAnsi="Arial" w:cs="Arial"/>
          <w:bCs/>
          <w:sz w:val="24"/>
          <w:szCs w:val="24"/>
        </w:rPr>
        <w:t xml:space="preserve">2023 </w:t>
      </w:r>
      <w:r>
        <w:rPr>
          <w:rFonts w:ascii="Arial" w:hAnsi="Arial" w:cs="Arial"/>
          <w:bCs/>
          <w:sz w:val="24"/>
          <w:szCs w:val="24"/>
        </w:rPr>
        <w:t>fue autorizada la adquisición de</w:t>
      </w:r>
      <w:r w:rsidR="004E0E65">
        <w:rPr>
          <w:rFonts w:ascii="Arial" w:hAnsi="Arial" w:cs="Arial"/>
          <w:bCs/>
          <w:sz w:val="24"/>
          <w:szCs w:val="24"/>
        </w:rPr>
        <w:t xml:space="preserve"> 300 cajas</w:t>
      </w:r>
      <w:r w:rsidR="00D10EE5">
        <w:rPr>
          <w:rFonts w:ascii="Arial" w:hAnsi="Arial" w:cs="Arial"/>
          <w:bCs/>
          <w:sz w:val="24"/>
          <w:szCs w:val="24"/>
        </w:rPr>
        <w:t xml:space="preserve"> de archivo</w:t>
      </w:r>
      <w:r w:rsidR="004E0E65">
        <w:rPr>
          <w:rFonts w:ascii="Arial" w:hAnsi="Arial" w:cs="Arial"/>
          <w:bCs/>
          <w:sz w:val="24"/>
          <w:szCs w:val="24"/>
        </w:rPr>
        <w:t xml:space="preserve"> ag-12, </w:t>
      </w:r>
      <w:r>
        <w:rPr>
          <w:rFonts w:ascii="Arial" w:hAnsi="Arial" w:cs="Arial"/>
          <w:bCs/>
          <w:sz w:val="24"/>
          <w:szCs w:val="24"/>
        </w:rPr>
        <w:t>que</w:t>
      </w:r>
      <w:r w:rsidR="004E0E65">
        <w:rPr>
          <w:rFonts w:ascii="Arial" w:hAnsi="Arial" w:cs="Arial"/>
          <w:bCs/>
          <w:sz w:val="24"/>
          <w:szCs w:val="24"/>
        </w:rPr>
        <w:t xml:space="preserve"> se caracterizan por </w:t>
      </w:r>
      <w:r w:rsidR="00D10EE5">
        <w:rPr>
          <w:rFonts w:ascii="Arial" w:hAnsi="Arial" w:cs="Arial"/>
          <w:bCs/>
          <w:sz w:val="24"/>
          <w:szCs w:val="24"/>
        </w:rPr>
        <w:t>estar libre</w:t>
      </w:r>
      <w:r w:rsidR="00283738">
        <w:rPr>
          <w:rFonts w:ascii="Arial" w:hAnsi="Arial" w:cs="Arial"/>
          <w:bCs/>
          <w:sz w:val="24"/>
          <w:szCs w:val="24"/>
        </w:rPr>
        <w:t>s</w:t>
      </w:r>
      <w:r w:rsidR="00D10EE5">
        <w:rPr>
          <w:rFonts w:ascii="Arial" w:hAnsi="Arial" w:cs="Arial"/>
          <w:bCs/>
          <w:sz w:val="24"/>
          <w:szCs w:val="24"/>
        </w:rPr>
        <w:t xml:space="preserve"> de ácido</w:t>
      </w:r>
      <w:r w:rsidR="00283738">
        <w:rPr>
          <w:rFonts w:ascii="Arial" w:hAnsi="Arial" w:cs="Arial"/>
          <w:bCs/>
          <w:sz w:val="24"/>
          <w:szCs w:val="24"/>
        </w:rPr>
        <w:t xml:space="preserve"> y de lignina</w:t>
      </w:r>
      <w:r w:rsidR="00D10EE5">
        <w:rPr>
          <w:rFonts w:ascii="Arial" w:hAnsi="Arial" w:cs="Arial"/>
          <w:bCs/>
          <w:sz w:val="24"/>
          <w:szCs w:val="24"/>
        </w:rPr>
        <w:t>,</w:t>
      </w:r>
      <w:r w:rsidR="001D5F5D">
        <w:rPr>
          <w:rFonts w:ascii="Arial" w:hAnsi="Arial" w:cs="Arial"/>
          <w:bCs/>
          <w:sz w:val="24"/>
          <w:szCs w:val="24"/>
        </w:rPr>
        <w:t xml:space="preserve"> evita</w:t>
      </w:r>
      <w:r w:rsidR="00283738">
        <w:rPr>
          <w:rFonts w:ascii="Arial" w:hAnsi="Arial" w:cs="Arial"/>
          <w:bCs/>
          <w:sz w:val="24"/>
          <w:szCs w:val="24"/>
        </w:rPr>
        <w:t>n</w:t>
      </w:r>
      <w:r w:rsidR="001D5F5D">
        <w:rPr>
          <w:rFonts w:ascii="Arial" w:hAnsi="Arial" w:cs="Arial"/>
          <w:bCs/>
          <w:sz w:val="24"/>
          <w:szCs w:val="24"/>
        </w:rPr>
        <w:t xml:space="preserve"> la humedad, y cubrir los expedientes de factores externos como el polvo, </w:t>
      </w:r>
      <w:r w:rsidR="00D10EE5">
        <w:rPr>
          <w:rFonts w:ascii="Arial" w:hAnsi="Arial" w:cs="Arial"/>
          <w:bCs/>
          <w:sz w:val="24"/>
          <w:szCs w:val="24"/>
        </w:rPr>
        <w:t>lo que permite dar una adecuada protección a los documentos que tienen valor histórico.</w:t>
      </w:r>
      <w:r w:rsidR="00283738">
        <w:rPr>
          <w:rFonts w:ascii="Arial" w:hAnsi="Arial" w:cs="Arial"/>
          <w:bCs/>
          <w:sz w:val="24"/>
          <w:szCs w:val="24"/>
        </w:rPr>
        <w:t xml:space="preserve"> E</w:t>
      </w:r>
      <w:r w:rsidR="00283738" w:rsidRPr="00283738">
        <w:rPr>
          <w:rFonts w:ascii="Arial" w:hAnsi="Arial" w:cs="Arial"/>
          <w:bCs/>
          <w:sz w:val="24"/>
          <w:szCs w:val="24"/>
        </w:rPr>
        <w:t>l ácido y la lignina son componentes cuyas propiedades químicas hacen que con el paso del tiempo el papel pierda su color y algunas de sus propiedades. El ácido contiene lignina, una sustancia que se encuentra en la pulpa de madera y que se descompone con el tiempo, lo que hace que el papel se vuelva quebradizo, amarillo y eventualmente se desintegre. Este proceso de deterioro, conocido como degradación ácida, puede acelerars</w:t>
      </w:r>
      <w:r w:rsidR="00283738">
        <w:rPr>
          <w:rFonts w:ascii="Arial" w:hAnsi="Arial" w:cs="Arial"/>
          <w:bCs/>
          <w:sz w:val="24"/>
          <w:szCs w:val="24"/>
        </w:rPr>
        <w:t xml:space="preserve">e por factores externos </w:t>
      </w:r>
      <w:r w:rsidR="00283738" w:rsidRPr="00283738">
        <w:rPr>
          <w:rFonts w:ascii="Arial" w:hAnsi="Arial" w:cs="Arial"/>
          <w:bCs/>
          <w:sz w:val="24"/>
          <w:szCs w:val="24"/>
        </w:rPr>
        <w:t>como el calor, la humedad y la exposición a la luz</w:t>
      </w:r>
      <w:r w:rsidR="007247C4">
        <w:rPr>
          <w:rFonts w:ascii="Arial" w:hAnsi="Arial" w:cs="Arial"/>
          <w:bCs/>
          <w:sz w:val="24"/>
          <w:szCs w:val="24"/>
        </w:rPr>
        <w:t>. el que los expedientes se encuentren expuestos al medio ambiente</w:t>
      </w:r>
      <w:r w:rsidR="00283738" w:rsidRPr="00283738">
        <w:rPr>
          <w:rFonts w:ascii="Arial" w:hAnsi="Arial" w:cs="Arial"/>
          <w:bCs/>
          <w:sz w:val="24"/>
          <w:szCs w:val="24"/>
        </w:rPr>
        <w:t xml:space="preserve"> los ha</w:t>
      </w:r>
      <w:r w:rsidR="007247C4">
        <w:rPr>
          <w:rFonts w:ascii="Arial" w:hAnsi="Arial" w:cs="Arial"/>
          <w:bCs/>
          <w:sz w:val="24"/>
          <w:szCs w:val="24"/>
        </w:rPr>
        <w:t>ce</w:t>
      </w:r>
      <w:r w:rsidR="00283738" w:rsidRPr="00283738">
        <w:rPr>
          <w:rFonts w:ascii="Arial" w:hAnsi="Arial" w:cs="Arial"/>
          <w:bCs/>
          <w:sz w:val="24"/>
          <w:szCs w:val="24"/>
        </w:rPr>
        <w:t xml:space="preserve"> susceptibles a la degradación.</w:t>
      </w:r>
    </w:p>
    <w:p w14:paraId="1B590654" w14:textId="77777777" w:rsidR="009E42A9" w:rsidRPr="009E42A9" w:rsidRDefault="009E42A9" w:rsidP="009E42A9">
      <w:pPr>
        <w:spacing w:before="120" w:after="120" w:line="240" w:lineRule="auto"/>
        <w:jc w:val="both"/>
        <w:rPr>
          <w:rFonts w:ascii="Arial" w:hAnsi="Arial" w:cs="Arial"/>
          <w:bCs/>
          <w:szCs w:val="24"/>
        </w:rPr>
      </w:pPr>
    </w:p>
    <w:p w14:paraId="748E06A7" w14:textId="35CFB422" w:rsidR="00604EC4" w:rsidRDefault="00604EC4" w:rsidP="00DC15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A5C39">
        <w:rPr>
          <w:rFonts w:ascii="Arial" w:hAnsi="Arial" w:cs="Arial"/>
          <w:b/>
          <w:sz w:val="24"/>
          <w:szCs w:val="24"/>
        </w:rPr>
        <w:t>Problemática</w:t>
      </w:r>
      <w:r w:rsidR="00FA5C39" w:rsidRPr="00FA5C39">
        <w:rPr>
          <w:rFonts w:ascii="Arial" w:hAnsi="Arial" w:cs="Arial"/>
          <w:b/>
          <w:sz w:val="24"/>
          <w:szCs w:val="24"/>
        </w:rPr>
        <w:t>:</w:t>
      </w:r>
    </w:p>
    <w:p w14:paraId="7C3E54C3" w14:textId="7E46C9ED" w:rsidR="00967C89" w:rsidRDefault="00967C89" w:rsidP="00DC15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AA89B09" w14:textId="07C08913" w:rsidR="00C90476" w:rsidRDefault="00F55A96" w:rsidP="00C90476">
      <w:pPr>
        <w:pStyle w:val="Prrafodelista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Actualmente, la Comisión Estatal de Derechos Humanos de Veracruz</w:t>
      </w:r>
      <w:r w:rsidR="00A235D7">
        <w:rPr>
          <w:rFonts w:ascii="Arial" w:hAnsi="Arial" w:cs="Arial"/>
          <w:sz w:val="24"/>
          <w:szCs w:val="24"/>
        </w:rPr>
        <w:t xml:space="preserve"> </w:t>
      </w:r>
      <w:r w:rsidR="00BD2273">
        <w:rPr>
          <w:rFonts w:ascii="Arial" w:hAnsi="Arial" w:cs="Arial"/>
          <w:sz w:val="24"/>
          <w:szCs w:val="24"/>
        </w:rPr>
        <w:t>no cuenta</w:t>
      </w:r>
      <w:r w:rsidR="00A235D7">
        <w:rPr>
          <w:rFonts w:ascii="Arial" w:hAnsi="Arial" w:cs="Arial"/>
          <w:sz w:val="24"/>
          <w:szCs w:val="24"/>
        </w:rPr>
        <w:t xml:space="preserve"> con un mapa de riesgos que permita identificar las posibles contingencias que se presenten en relación a la administración y gestión de archivos, </w:t>
      </w:r>
      <w:r>
        <w:rPr>
          <w:rFonts w:ascii="Arial" w:hAnsi="Arial" w:cs="Arial"/>
          <w:sz w:val="24"/>
          <w:szCs w:val="24"/>
        </w:rPr>
        <w:t xml:space="preserve">lo que </w:t>
      </w:r>
      <w:r w:rsidR="00BD2273">
        <w:rPr>
          <w:rFonts w:ascii="Arial" w:hAnsi="Arial" w:cs="Arial"/>
          <w:sz w:val="24"/>
          <w:szCs w:val="24"/>
        </w:rPr>
        <w:t>hace necesario</w:t>
      </w:r>
      <w:r w:rsidR="00A235D7">
        <w:rPr>
          <w:rFonts w:ascii="Arial" w:hAnsi="Arial" w:cs="Arial"/>
          <w:sz w:val="24"/>
          <w:szCs w:val="24"/>
        </w:rPr>
        <w:t xml:space="preserve"> reconocer y describir los riesgos que puedan afectar </w:t>
      </w:r>
      <w:r>
        <w:rPr>
          <w:rFonts w:ascii="Arial" w:hAnsi="Arial" w:cs="Arial"/>
          <w:sz w:val="24"/>
          <w:szCs w:val="24"/>
        </w:rPr>
        <w:t>el manejo de los documentos que se encuentran tanto en archivo de trámite, concentración e histórico.</w:t>
      </w:r>
    </w:p>
    <w:p w14:paraId="335D142C" w14:textId="77777777" w:rsidR="006F1B46" w:rsidRDefault="006F1B46" w:rsidP="006F1B46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40B32D2D" w14:textId="0EA246CB" w:rsidR="006F1B46" w:rsidRDefault="009C04B2" w:rsidP="00C90476">
      <w:pPr>
        <w:pStyle w:val="Prrafodelista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Debido a complicaciones Técnicas </w:t>
      </w:r>
      <w:r w:rsidR="006F1B46">
        <w:rPr>
          <w:rFonts w:ascii="Arial" w:hAnsi="Arial" w:cs="Arial"/>
          <w:sz w:val="24"/>
          <w:szCs w:val="24"/>
        </w:rPr>
        <w:t>el Sistema</w:t>
      </w:r>
      <w:r w:rsidR="00854988">
        <w:rPr>
          <w:rFonts w:ascii="Arial" w:hAnsi="Arial" w:cs="Arial"/>
          <w:sz w:val="24"/>
          <w:szCs w:val="24"/>
        </w:rPr>
        <w:t xml:space="preserve"> Automatizado </w:t>
      </w:r>
      <w:r w:rsidR="006F1B46">
        <w:rPr>
          <w:rFonts w:ascii="Arial" w:hAnsi="Arial" w:cs="Arial"/>
          <w:sz w:val="24"/>
          <w:szCs w:val="24"/>
        </w:rPr>
        <w:t xml:space="preserve">de Gestión </w:t>
      </w:r>
      <w:r w:rsidR="00854988">
        <w:rPr>
          <w:rFonts w:ascii="Arial" w:hAnsi="Arial" w:cs="Arial"/>
          <w:sz w:val="24"/>
          <w:szCs w:val="24"/>
        </w:rPr>
        <w:t>de Archivos</w:t>
      </w:r>
      <w:r w:rsidR="006F1B46">
        <w:rPr>
          <w:rFonts w:ascii="Arial" w:hAnsi="Arial" w:cs="Arial"/>
          <w:sz w:val="24"/>
          <w:szCs w:val="24"/>
        </w:rPr>
        <w:t xml:space="preserve"> </w:t>
      </w:r>
      <w:r w:rsidR="00854988">
        <w:rPr>
          <w:rFonts w:ascii="Arial" w:hAnsi="Arial" w:cs="Arial"/>
          <w:sz w:val="24"/>
          <w:szCs w:val="24"/>
        </w:rPr>
        <w:t>(</w:t>
      </w:r>
      <w:r w:rsidR="006F1B46">
        <w:rPr>
          <w:rFonts w:ascii="Arial" w:hAnsi="Arial" w:cs="Arial"/>
          <w:sz w:val="24"/>
          <w:szCs w:val="24"/>
        </w:rPr>
        <w:t>SAGA</w:t>
      </w:r>
      <w:r w:rsidR="00854988">
        <w:rPr>
          <w:rFonts w:ascii="Arial" w:hAnsi="Arial" w:cs="Arial"/>
          <w:sz w:val="24"/>
          <w:szCs w:val="24"/>
        </w:rPr>
        <w:t>)</w:t>
      </w:r>
      <w:r w:rsidR="006F1B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pudo instalarse el mes de diciembre de </w:t>
      </w:r>
      <w:r w:rsidR="00854988">
        <w:rPr>
          <w:rFonts w:ascii="Arial" w:hAnsi="Arial" w:cs="Arial"/>
          <w:sz w:val="24"/>
          <w:szCs w:val="24"/>
        </w:rPr>
        <w:t>2023</w:t>
      </w:r>
      <w:r w:rsidR="006F1B46">
        <w:rPr>
          <w:rFonts w:ascii="Arial" w:hAnsi="Arial" w:cs="Arial"/>
          <w:sz w:val="24"/>
          <w:szCs w:val="24"/>
        </w:rPr>
        <w:t xml:space="preserve">, por lo que para el ejercicio 2024 se deberá implementar </w:t>
      </w:r>
      <w:r w:rsidR="00854988">
        <w:rPr>
          <w:rFonts w:ascii="Arial" w:hAnsi="Arial" w:cs="Arial"/>
          <w:sz w:val="24"/>
          <w:szCs w:val="24"/>
        </w:rPr>
        <w:t>y consolidar el uso d</w:t>
      </w:r>
      <w:r w:rsidR="00316F2F">
        <w:rPr>
          <w:rFonts w:ascii="Arial" w:hAnsi="Arial" w:cs="Arial"/>
          <w:sz w:val="24"/>
          <w:szCs w:val="24"/>
        </w:rPr>
        <w:t>el programa</w:t>
      </w:r>
      <w:r w:rsidR="00A83286">
        <w:rPr>
          <w:rFonts w:ascii="Arial" w:hAnsi="Arial" w:cs="Arial"/>
          <w:sz w:val="24"/>
          <w:szCs w:val="24"/>
        </w:rPr>
        <w:t xml:space="preserve">. El </w:t>
      </w:r>
      <w:r>
        <w:rPr>
          <w:rFonts w:ascii="Arial" w:hAnsi="Arial" w:cs="Arial"/>
          <w:sz w:val="24"/>
          <w:szCs w:val="24"/>
        </w:rPr>
        <w:t xml:space="preserve"> uso del </w:t>
      </w:r>
      <w:r w:rsidR="00A83286">
        <w:rPr>
          <w:rFonts w:ascii="Arial" w:hAnsi="Arial" w:cs="Arial"/>
          <w:sz w:val="24"/>
          <w:szCs w:val="24"/>
        </w:rPr>
        <w:t xml:space="preserve">SAGA </w:t>
      </w:r>
      <w:r>
        <w:rPr>
          <w:rFonts w:ascii="Arial" w:hAnsi="Arial" w:cs="Arial"/>
          <w:sz w:val="24"/>
          <w:szCs w:val="24"/>
        </w:rPr>
        <w:t xml:space="preserve">permitirá </w:t>
      </w:r>
      <w:r w:rsidR="00A578F7">
        <w:rPr>
          <w:rFonts w:ascii="Arial" w:hAnsi="Arial" w:cs="Arial"/>
          <w:sz w:val="24"/>
          <w:szCs w:val="24"/>
        </w:rPr>
        <w:t xml:space="preserve">cumplir con las obligaciones y disposiciones en materia archivística, </w:t>
      </w:r>
      <w:r>
        <w:rPr>
          <w:rFonts w:ascii="Arial" w:hAnsi="Arial" w:cs="Arial"/>
          <w:sz w:val="24"/>
          <w:szCs w:val="24"/>
        </w:rPr>
        <w:t xml:space="preserve">y dar cabal cumplimiento </w:t>
      </w:r>
      <w:r w:rsidR="00A578F7">
        <w:rPr>
          <w:rFonts w:ascii="Arial" w:hAnsi="Arial" w:cs="Arial"/>
          <w:sz w:val="24"/>
          <w:szCs w:val="24"/>
        </w:rPr>
        <w:t>a lo establecido en los artículos 44 y 45 de la Ley General de Archivos.</w:t>
      </w:r>
    </w:p>
    <w:p w14:paraId="277F21C4" w14:textId="77777777" w:rsidR="00E232FB" w:rsidRPr="00C12DFD" w:rsidRDefault="00E232FB" w:rsidP="00C12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CA1C5F" w14:textId="77777777" w:rsidR="009B3681" w:rsidRPr="00383BFA" w:rsidRDefault="009B3681" w:rsidP="00DC15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83BFA">
        <w:rPr>
          <w:rFonts w:ascii="Arial" w:hAnsi="Arial" w:cs="Arial"/>
          <w:b/>
          <w:sz w:val="24"/>
          <w:szCs w:val="24"/>
        </w:rPr>
        <w:t>II.- Justificación</w:t>
      </w:r>
    </w:p>
    <w:p w14:paraId="7E0D3E4B" w14:textId="77777777" w:rsidR="00575349" w:rsidRDefault="00575349" w:rsidP="00DC1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F24987" w14:textId="340FDDBE" w:rsidR="00711763" w:rsidRDefault="00711763" w:rsidP="00DC1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6718E7">
        <w:rPr>
          <w:rFonts w:ascii="Arial" w:hAnsi="Arial" w:cs="Arial"/>
          <w:sz w:val="24"/>
          <w:szCs w:val="24"/>
        </w:rPr>
        <w:t xml:space="preserve">a identificación de riesgos es un elemento que no debe dejarse de lado en </w:t>
      </w:r>
      <w:r w:rsidR="00552082">
        <w:rPr>
          <w:rFonts w:ascii="Arial" w:hAnsi="Arial" w:cs="Arial"/>
          <w:sz w:val="24"/>
          <w:szCs w:val="24"/>
        </w:rPr>
        <w:t>lo que respecta a la correcta administración de archivos</w:t>
      </w:r>
      <w:r w:rsidR="00B829E0">
        <w:rPr>
          <w:rFonts w:ascii="Arial" w:hAnsi="Arial" w:cs="Arial"/>
          <w:sz w:val="24"/>
          <w:szCs w:val="24"/>
        </w:rPr>
        <w:t>.</w:t>
      </w:r>
      <w:r w:rsidR="00552082">
        <w:rPr>
          <w:rFonts w:ascii="Arial" w:hAnsi="Arial" w:cs="Arial"/>
          <w:sz w:val="24"/>
          <w:szCs w:val="24"/>
        </w:rPr>
        <w:t xml:space="preserve"> </w:t>
      </w:r>
      <w:r w:rsidR="00B829E0">
        <w:rPr>
          <w:rFonts w:ascii="Arial" w:hAnsi="Arial" w:cs="Arial"/>
          <w:sz w:val="24"/>
          <w:szCs w:val="24"/>
        </w:rPr>
        <w:t>L</w:t>
      </w:r>
      <w:r w:rsidR="00552082">
        <w:rPr>
          <w:rFonts w:ascii="Arial" w:hAnsi="Arial" w:cs="Arial"/>
          <w:sz w:val="24"/>
          <w:szCs w:val="24"/>
        </w:rPr>
        <w:t>os desastres naturales pueden presentarse en cualquier momento, así como los accidentes laborales,</w:t>
      </w:r>
      <w:r w:rsidR="008504E9">
        <w:rPr>
          <w:rFonts w:ascii="Arial" w:hAnsi="Arial" w:cs="Arial"/>
          <w:sz w:val="24"/>
          <w:szCs w:val="24"/>
        </w:rPr>
        <w:t xml:space="preserve"> por lo que </w:t>
      </w:r>
      <w:r w:rsidR="00552082">
        <w:rPr>
          <w:rFonts w:ascii="Arial" w:hAnsi="Arial" w:cs="Arial"/>
          <w:sz w:val="24"/>
          <w:szCs w:val="24"/>
        </w:rPr>
        <w:t xml:space="preserve"> es indispensable </w:t>
      </w:r>
      <w:r w:rsidR="008504E9">
        <w:rPr>
          <w:rFonts w:ascii="Arial" w:hAnsi="Arial" w:cs="Arial"/>
          <w:sz w:val="24"/>
          <w:szCs w:val="24"/>
        </w:rPr>
        <w:t xml:space="preserve">identificar los </w:t>
      </w:r>
      <w:r w:rsidR="00552082">
        <w:rPr>
          <w:rFonts w:ascii="Arial" w:hAnsi="Arial" w:cs="Arial"/>
          <w:sz w:val="24"/>
          <w:szCs w:val="24"/>
        </w:rPr>
        <w:t>riesgos que pueden ocurrir, así como las acciones que se deberán llevar a cabo si estos se presentan</w:t>
      </w:r>
      <w:r>
        <w:rPr>
          <w:rFonts w:ascii="Arial" w:hAnsi="Arial" w:cs="Arial"/>
          <w:sz w:val="24"/>
          <w:szCs w:val="24"/>
        </w:rPr>
        <w:t>.</w:t>
      </w:r>
    </w:p>
    <w:p w14:paraId="4E57679F" w14:textId="0A2F24F8" w:rsidR="00711763" w:rsidRDefault="00711763" w:rsidP="00DC1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2B7AB0" w14:textId="48834B71" w:rsidR="00711763" w:rsidRDefault="00711763" w:rsidP="00DC1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artículo </w:t>
      </w:r>
      <w:r w:rsidR="00E8348A">
        <w:rPr>
          <w:rFonts w:ascii="Arial" w:hAnsi="Arial" w:cs="Arial"/>
          <w:sz w:val="24"/>
          <w:szCs w:val="24"/>
        </w:rPr>
        <w:t>24</w:t>
      </w:r>
      <w:r w:rsidR="00AC4C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la Ley General de Archivos establece que </w:t>
      </w:r>
      <w:r w:rsidR="006D0A3A">
        <w:rPr>
          <w:rFonts w:ascii="Arial" w:hAnsi="Arial" w:cs="Arial"/>
          <w:sz w:val="24"/>
          <w:szCs w:val="24"/>
        </w:rPr>
        <w:t xml:space="preserve">el Programa Anual de Desarrollo Archivístico </w:t>
      </w:r>
      <w:r w:rsidR="006718E7">
        <w:rPr>
          <w:rFonts w:ascii="Arial" w:hAnsi="Arial" w:cs="Arial"/>
          <w:sz w:val="24"/>
          <w:szCs w:val="24"/>
        </w:rPr>
        <w:t>contendrá los elementos de planeación, programación y evaluación para el desarrollo de los archivos y deberá incluir un enfoque de administración de riesgo</w:t>
      </w:r>
      <w:r w:rsidR="00552082">
        <w:rPr>
          <w:rFonts w:ascii="Arial" w:hAnsi="Arial" w:cs="Arial"/>
          <w:sz w:val="24"/>
          <w:szCs w:val="24"/>
        </w:rPr>
        <w:t>s.</w:t>
      </w:r>
    </w:p>
    <w:p w14:paraId="34DCAC5C" w14:textId="77777777" w:rsidR="00534B00" w:rsidRDefault="00534B00" w:rsidP="00DC1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448693" w14:textId="71486DC1" w:rsidR="00DF6182" w:rsidRDefault="00B07F44" w:rsidP="00DC1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 entiende por u</w:t>
      </w:r>
      <w:r w:rsidR="00397D4C">
        <w:rPr>
          <w:rFonts w:ascii="Arial" w:hAnsi="Arial" w:cs="Arial"/>
          <w:sz w:val="24"/>
          <w:szCs w:val="24"/>
        </w:rPr>
        <w:t>n riesgo en el archivo un evento adverso e incierto, que puede ser externo o interno</w:t>
      </w:r>
      <w:r>
        <w:rPr>
          <w:rFonts w:ascii="Arial" w:hAnsi="Arial" w:cs="Arial"/>
          <w:sz w:val="24"/>
          <w:szCs w:val="24"/>
        </w:rPr>
        <w:t>,</w:t>
      </w:r>
      <w:r w:rsidR="00397D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derivado de la posibilidad de su ocurrencia y su posible impacto pudiera obstaculizar o impedir el logro de los objetivos y metas institucionales. </w:t>
      </w:r>
    </w:p>
    <w:p w14:paraId="21878850" w14:textId="77777777" w:rsidR="001F58C4" w:rsidRDefault="001F58C4" w:rsidP="00DC1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4FDDAD" w14:textId="14737026" w:rsidR="001F58C4" w:rsidRDefault="001F58C4" w:rsidP="00DC1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administración de riesgos es un proceso sistemático</w:t>
      </w:r>
      <w:r w:rsidR="009E36A3">
        <w:rPr>
          <w:rFonts w:ascii="Arial" w:hAnsi="Arial" w:cs="Arial"/>
          <w:sz w:val="24"/>
          <w:szCs w:val="24"/>
        </w:rPr>
        <w:t xml:space="preserve"> para identificar, analizar</w:t>
      </w:r>
      <w:r w:rsidR="008504E9">
        <w:rPr>
          <w:rFonts w:ascii="Arial" w:hAnsi="Arial" w:cs="Arial"/>
          <w:sz w:val="24"/>
          <w:szCs w:val="24"/>
        </w:rPr>
        <w:t xml:space="preserve"> y</w:t>
      </w:r>
      <w:r w:rsidR="009E36A3">
        <w:rPr>
          <w:rFonts w:ascii="Arial" w:hAnsi="Arial" w:cs="Arial"/>
          <w:sz w:val="24"/>
          <w:szCs w:val="24"/>
        </w:rPr>
        <w:t xml:space="preserve"> ejecutar acciones de </w:t>
      </w:r>
      <w:r w:rsidR="008504E9">
        <w:rPr>
          <w:rFonts w:ascii="Arial" w:hAnsi="Arial" w:cs="Arial"/>
          <w:sz w:val="24"/>
          <w:szCs w:val="24"/>
        </w:rPr>
        <w:t xml:space="preserve">mitigación, así como para </w:t>
      </w:r>
      <w:r w:rsidR="009E36A3">
        <w:rPr>
          <w:rFonts w:ascii="Arial" w:hAnsi="Arial" w:cs="Arial"/>
          <w:sz w:val="24"/>
          <w:szCs w:val="24"/>
        </w:rPr>
        <w:t>dar seguimiento al comportamiento de los riesgos que puedan presentarse en el desarrollo de las actividades archivísticas</w:t>
      </w:r>
      <w:r w:rsidR="00385DAE">
        <w:rPr>
          <w:rFonts w:ascii="Arial" w:hAnsi="Arial" w:cs="Arial"/>
          <w:sz w:val="24"/>
          <w:szCs w:val="24"/>
        </w:rPr>
        <w:t>. Es</w:t>
      </w:r>
      <w:r w:rsidR="009E36A3">
        <w:rPr>
          <w:rFonts w:ascii="Arial" w:hAnsi="Arial" w:cs="Arial"/>
          <w:sz w:val="24"/>
          <w:szCs w:val="24"/>
        </w:rPr>
        <w:t xml:space="preserve"> mediante el análisis de los factores que pueden provocar los riesgos</w:t>
      </w:r>
      <w:r w:rsidR="00385DAE">
        <w:rPr>
          <w:rFonts w:ascii="Arial" w:hAnsi="Arial" w:cs="Arial"/>
          <w:sz w:val="24"/>
          <w:szCs w:val="24"/>
        </w:rPr>
        <w:t xml:space="preserve"> que</w:t>
      </w:r>
      <w:r w:rsidR="009E36A3">
        <w:rPr>
          <w:rFonts w:ascii="Arial" w:hAnsi="Arial" w:cs="Arial"/>
          <w:sz w:val="24"/>
          <w:szCs w:val="24"/>
        </w:rPr>
        <w:t xml:space="preserve"> se podrá</w:t>
      </w:r>
      <w:r w:rsidR="008504E9">
        <w:rPr>
          <w:rFonts w:ascii="Arial" w:hAnsi="Arial" w:cs="Arial"/>
          <w:sz w:val="24"/>
          <w:szCs w:val="24"/>
        </w:rPr>
        <w:t>n</w:t>
      </w:r>
      <w:r w:rsidR="009E36A3">
        <w:rPr>
          <w:rFonts w:ascii="Arial" w:hAnsi="Arial" w:cs="Arial"/>
          <w:sz w:val="24"/>
          <w:szCs w:val="24"/>
        </w:rPr>
        <w:t xml:space="preserve"> establecer las estrategias y acciones que permitan controlarlos</w:t>
      </w:r>
      <w:r w:rsidR="00385DAE">
        <w:rPr>
          <w:rFonts w:ascii="Arial" w:hAnsi="Arial" w:cs="Arial"/>
          <w:sz w:val="24"/>
          <w:szCs w:val="24"/>
        </w:rPr>
        <w:t>.</w:t>
      </w:r>
    </w:p>
    <w:p w14:paraId="405D1FF8" w14:textId="77777777" w:rsidR="007C7FC2" w:rsidRDefault="007C7FC2" w:rsidP="00DC1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A207E1" w14:textId="70B67713" w:rsidR="006F19DF" w:rsidRDefault="008504E9" w:rsidP="00DC1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4E0E65">
        <w:rPr>
          <w:rFonts w:ascii="Arial" w:hAnsi="Arial" w:cs="Arial"/>
          <w:sz w:val="24"/>
          <w:szCs w:val="24"/>
        </w:rPr>
        <w:t>a</w:t>
      </w:r>
      <w:r w:rsidR="006F19DF">
        <w:rPr>
          <w:rFonts w:ascii="Arial" w:hAnsi="Arial" w:cs="Arial"/>
          <w:sz w:val="24"/>
          <w:szCs w:val="24"/>
        </w:rPr>
        <w:t xml:space="preserve"> automatización de procesos está </w:t>
      </w:r>
      <w:r>
        <w:rPr>
          <w:rFonts w:ascii="Arial" w:hAnsi="Arial" w:cs="Arial"/>
          <w:sz w:val="24"/>
          <w:szCs w:val="24"/>
        </w:rPr>
        <w:t>contemplada</w:t>
      </w:r>
      <w:r w:rsidR="006F19DF">
        <w:rPr>
          <w:rFonts w:ascii="Arial" w:hAnsi="Arial" w:cs="Arial"/>
          <w:sz w:val="24"/>
          <w:szCs w:val="24"/>
        </w:rPr>
        <w:t xml:space="preserve"> en </w:t>
      </w:r>
      <w:r>
        <w:rPr>
          <w:rFonts w:ascii="Arial" w:hAnsi="Arial" w:cs="Arial"/>
          <w:sz w:val="24"/>
          <w:szCs w:val="24"/>
        </w:rPr>
        <w:t xml:space="preserve">artículo 28 </w:t>
      </w:r>
      <w:r>
        <w:rPr>
          <w:rFonts w:ascii="Arial" w:hAnsi="Arial" w:cs="Arial"/>
          <w:sz w:val="24"/>
          <w:szCs w:val="24"/>
        </w:rPr>
        <w:t xml:space="preserve">de </w:t>
      </w:r>
      <w:r w:rsidR="006F19DF">
        <w:rPr>
          <w:rFonts w:ascii="Arial" w:hAnsi="Arial" w:cs="Arial"/>
          <w:sz w:val="24"/>
          <w:szCs w:val="24"/>
        </w:rPr>
        <w:t>la Ley General de Archivos</w:t>
      </w:r>
      <w:r w:rsidR="00341159">
        <w:rPr>
          <w:rFonts w:ascii="Arial" w:hAnsi="Arial" w:cs="Arial"/>
          <w:sz w:val="24"/>
          <w:szCs w:val="24"/>
        </w:rPr>
        <w:t xml:space="preserve"> establece que el área coordinadora de archivos debe coordinar las actividades destinadas a la modernización y automatización de los procesos archivísticos y a la gestión de documentos electrónicos de las áreas operativas. </w:t>
      </w:r>
    </w:p>
    <w:p w14:paraId="46636FB6" w14:textId="77777777" w:rsidR="00BA57C4" w:rsidRDefault="00BA57C4" w:rsidP="00DC1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9F0189" w14:textId="297BEB35" w:rsidR="00341159" w:rsidRDefault="005F334D" w:rsidP="00DC1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sentido el programa SAGA</w:t>
      </w:r>
      <w:r w:rsidR="00020727">
        <w:rPr>
          <w:rFonts w:ascii="Arial" w:hAnsi="Arial" w:cs="Arial"/>
          <w:sz w:val="24"/>
          <w:szCs w:val="24"/>
        </w:rPr>
        <w:t xml:space="preserve"> permitirá gestionar los expedientes que se encuentren en trámite, visualizar los expedientes que sean remitidos al archivo de </w:t>
      </w:r>
      <w:r w:rsidR="00DF7609">
        <w:rPr>
          <w:rFonts w:ascii="Arial" w:hAnsi="Arial" w:cs="Arial"/>
          <w:sz w:val="24"/>
          <w:szCs w:val="24"/>
        </w:rPr>
        <w:t>concentración, al</w:t>
      </w:r>
      <w:r w:rsidR="00105E79">
        <w:rPr>
          <w:rFonts w:ascii="Arial" w:hAnsi="Arial" w:cs="Arial"/>
          <w:sz w:val="24"/>
          <w:szCs w:val="24"/>
        </w:rPr>
        <w:t xml:space="preserve"> tener capturadas las fechas de inicio y conclusión</w:t>
      </w:r>
      <w:r w:rsidR="00DF7609">
        <w:rPr>
          <w:rFonts w:ascii="Arial" w:hAnsi="Arial" w:cs="Arial"/>
          <w:sz w:val="24"/>
          <w:szCs w:val="24"/>
        </w:rPr>
        <w:t>.</w:t>
      </w:r>
      <w:r w:rsidR="00105E79">
        <w:rPr>
          <w:rFonts w:ascii="Arial" w:hAnsi="Arial" w:cs="Arial"/>
          <w:sz w:val="24"/>
          <w:szCs w:val="24"/>
        </w:rPr>
        <w:t xml:space="preserve"> </w:t>
      </w:r>
      <w:r w:rsidR="00DF7609">
        <w:rPr>
          <w:rFonts w:ascii="Arial" w:hAnsi="Arial" w:cs="Arial"/>
          <w:sz w:val="24"/>
          <w:szCs w:val="24"/>
        </w:rPr>
        <w:t>E</w:t>
      </w:r>
      <w:r w:rsidR="00105E79">
        <w:rPr>
          <w:rFonts w:ascii="Arial" w:hAnsi="Arial" w:cs="Arial"/>
          <w:sz w:val="24"/>
          <w:szCs w:val="24"/>
        </w:rPr>
        <w:t xml:space="preserve">l sistema </w:t>
      </w:r>
      <w:r w:rsidR="00DF7609">
        <w:rPr>
          <w:rFonts w:ascii="Arial" w:hAnsi="Arial" w:cs="Arial"/>
          <w:sz w:val="24"/>
          <w:szCs w:val="24"/>
        </w:rPr>
        <w:t>envía</w:t>
      </w:r>
      <w:r w:rsidR="00105E79">
        <w:rPr>
          <w:rFonts w:ascii="Arial" w:hAnsi="Arial" w:cs="Arial"/>
          <w:sz w:val="24"/>
          <w:szCs w:val="24"/>
        </w:rPr>
        <w:t xml:space="preserve"> aviso</w:t>
      </w:r>
      <w:r w:rsidR="00DF7609">
        <w:rPr>
          <w:rFonts w:ascii="Arial" w:hAnsi="Arial" w:cs="Arial"/>
          <w:sz w:val="24"/>
          <w:szCs w:val="24"/>
        </w:rPr>
        <w:t>s</w:t>
      </w:r>
      <w:r w:rsidR="00105E79">
        <w:rPr>
          <w:rFonts w:ascii="Arial" w:hAnsi="Arial" w:cs="Arial"/>
          <w:sz w:val="24"/>
          <w:szCs w:val="24"/>
        </w:rPr>
        <w:t>,</w:t>
      </w:r>
      <w:r w:rsidR="00DF7609">
        <w:rPr>
          <w:rFonts w:ascii="Arial" w:hAnsi="Arial" w:cs="Arial"/>
          <w:sz w:val="24"/>
          <w:szCs w:val="24"/>
        </w:rPr>
        <w:t xml:space="preserve"> </w:t>
      </w:r>
      <w:r w:rsidR="00105E79">
        <w:rPr>
          <w:rFonts w:ascii="Arial" w:hAnsi="Arial" w:cs="Arial"/>
          <w:sz w:val="24"/>
          <w:szCs w:val="24"/>
        </w:rPr>
        <w:t>indi</w:t>
      </w:r>
      <w:r w:rsidR="00DF7609">
        <w:rPr>
          <w:rFonts w:ascii="Arial" w:hAnsi="Arial" w:cs="Arial"/>
          <w:sz w:val="24"/>
          <w:szCs w:val="24"/>
        </w:rPr>
        <w:t>cando</w:t>
      </w:r>
      <w:r w:rsidR="00105E79">
        <w:rPr>
          <w:rFonts w:ascii="Arial" w:hAnsi="Arial" w:cs="Arial"/>
          <w:sz w:val="24"/>
          <w:szCs w:val="24"/>
        </w:rPr>
        <w:t xml:space="preserve"> si el expediente </w:t>
      </w:r>
      <w:r w:rsidR="003F446B">
        <w:rPr>
          <w:rFonts w:ascii="Arial" w:hAnsi="Arial" w:cs="Arial"/>
          <w:sz w:val="24"/>
          <w:szCs w:val="24"/>
        </w:rPr>
        <w:t xml:space="preserve">debe ser transferido a su etapa de concentración, histórica o ser dado de baja. </w:t>
      </w:r>
      <w:r w:rsidR="00DF7609">
        <w:rPr>
          <w:rFonts w:ascii="Arial" w:hAnsi="Arial" w:cs="Arial"/>
          <w:sz w:val="24"/>
          <w:szCs w:val="24"/>
        </w:rPr>
        <w:t>C</w:t>
      </w:r>
      <w:r w:rsidR="003F446B">
        <w:rPr>
          <w:rFonts w:ascii="Arial" w:hAnsi="Arial" w:cs="Arial"/>
          <w:sz w:val="24"/>
          <w:szCs w:val="24"/>
        </w:rPr>
        <w:t>uenta con una opción para consultar los expedientes</w:t>
      </w:r>
      <w:r w:rsidR="004A4C95">
        <w:rPr>
          <w:rFonts w:ascii="Arial" w:hAnsi="Arial" w:cs="Arial"/>
          <w:sz w:val="24"/>
          <w:szCs w:val="24"/>
        </w:rPr>
        <w:t xml:space="preserve"> </w:t>
      </w:r>
      <w:r w:rsidR="00DF7609">
        <w:rPr>
          <w:rFonts w:ascii="Arial" w:hAnsi="Arial" w:cs="Arial"/>
          <w:sz w:val="24"/>
          <w:szCs w:val="24"/>
        </w:rPr>
        <w:t>que se encuentren digitalizados</w:t>
      </w:r>
      <w:r w:rsidR="004A4C95">
        <w:rPr>
          <w:rFonts w:ascii="Arial" w:hAnsi="Arial" w:cs="Arial"/>
          <w:sz w:val="24"/>
          <w:szCs w:val="24"/>
        </w:rPr>
        <w:t>,</w:t>
      </w:r>
      <w:r w:rsidR="003F446B">
        <w:rPr>
          <w:rFonts w:ascii="Arial" w:hAnsi="Arial" w:cs="Arial"/>
          <w:sz w:val="24"/>
          <w:szCs w:val="24"/>
        </w:rPr>
        <w:t xml:space="preserve"> </w:t>
      </w:r>
      <w:r w:rsidR="00DF7609">
        <w:rPr>
          <w:rFonts w:ascii="Arial" w:hAnsi="Arial" w:cs="Arial"/>
          <w:sz w:val="24"/>
          <w:szCs w:val="24"/>
        </w:rPr>
        <w:t>proporcionando</w:t>
      </w:r>
      <w:r w:rsidR="003F446B">
        <w:rPr>
          <w:rFonts w:ascii="Arial" w:hAnsi="Arial" w:cs="Arial"/>
          <w:sz w:val="24"/>
          <w:szCs w:val="24"/>
        </w:rPr>
        <w:t xml:space="preserve"> un enlace para su acceso</w:t>
      </w:r>
      <w:r w:rsidR="00DF7609">
        <w:rPr>
          <w:rFonts w:ascii="Arial" w:hAnsi="Arial" w:cs="Arial"/>
          <w:sz w:val="24"/>
          <w:szCs w:val="24"/>
        </w:rPr>
        <w:t xml:space="preserve"> en línea</w:t>
      </w:r>
      <w:r w:rsidR="003F446B">
        <w:rPr>
          <w:rFonts w:ascii="Arial" w:hAnsi="Arial" w:cs="Arial"/>
          <w:sz w:val="24"/>
          <w:szCs w:val="24"/>
        </w:rPr>
        <w:t>, de esta forma se</w:t>
      </w:r>
      <w:r w:rsidR="00DF7609">
        <w:rPr>
          <w:rFonts w:ascii="Arial" w:hAnsi="Arial" w:cs="Arial"/>
          <w:sz w:val="24"/>
          <w:szCs w:val="24"/>
        </w:rPr>
        <w:t xml:space="preserve"> estará en condiciones de</w:t>
      </w:r>
      <w:r w:rsidR="00020727">
        <w:rPr>
          <w:rFonts w:ascii="Arial" w:hAnsi="Arial" w:cs="Arial"/>
          <w:sz w:val="24"/>
          <w:szCs w:val="24"/>
        </w:rPr>
        <w:t xml:space="preserve"> realizar </w:t>
      </w:r>
      <w:r w:rsidR="003F446B">
        <w:rPr>
          <w:rFonts w:ascii="Arial" w:hAnsi="Arial" w:cs="Arial"/>
          <w:sz w:val="24"/>
          <w:szCs w:val="24"/>
        </w:rPr>
        <w:t>los préstamos de expedientes de forma electrónica</w:t>
      </w:r>
      <w:r w:rsidR="00DF7609">
        <w:rPr>
          <w:rFonts w:ascii="Arial" w:hAnsi="Arial" w:cs="Arial"/>
          <w:sz w:val="24"/>
          <w:szCs w:val="24"/>
        </w:rPr>
        <w:t>. A</w:t>
      </w:r>
      <w:r w:rsidR="003F446B">
        <w:rPr>
          <w:rFonts w:ascii="Arial" w:hAnsi="Arial" w:cs="Arial"/>
          <w:sz w:val="24"/>
          <w:szCs w:val="24"/>
        </w:rPr>
        <w:t>demás</w:t>
      </w:r>
      <w:r w:rsidR="00DF7609">
        <w:rPr>
          <w:rFonts w:ascii="Arial" w:hAnsi="Arial" w:cs="Arial"/>
          <w:sz w:val="24"/>
          <w:szCs w:val="24"/>
        </w:rPr>
        <w:t>,</w:t>
      </w:r>
      <w:r w:rsidR="003F446B">
        <w:rPr>
          <w:rFonts w:ascii="Arial" w:hAnsi="Arial" w:cs="Arial"/>
          <w:sz w:val="24"/>
          <w:szCs w:val="24"/>
        </w:rPr>
        <w:t xml:space="preserve"> el sistema permite generar el formato de préstamo de forma electrónica</w:t>
      </w:r>
      <w:r w:rsidR="00020727">
        <w:rPr>
          <w:rFonts w:ascii="Arial" w:hAnsi="Arial" w:cs="Arial"/>
          <w:sz w:val="24"/>
          <w:szCs w:val="24"/>
        </w:rPr>
        <w:t>, generar las car</w:t>
      </w:r>
      <w:r w:rsidR="00C52018">
        <w:rPr>
          <w:rFonts w:ascii="Arial" w:hAnsi="Arial" w:cs="Arial"/>
          <w:sz w:val="24"/>
          <w:szCs w:val="24"/>
        </w:rPr>
        <w:t>á</w:t>
      </w:r>
      <w:r w:rsidR="00020727">
        <w:rPr>
          <w:rFonts w:ascii="Arial" w:hAnsi="Arial" w:cs="Arial"/>
          <w:sz w:val="24"/>
          <w:szCs w:val="24"/>
        </w:rPr>
        <w:t>tulas del expediente, inventarios documentales</w:t>
      </w:r>
      <w:r w:rsidR="003F446B">
        <w:rPr>
          <w:rFonts w:ascii="Arial" w:hAnsi="Arial" w:cs="Arial"/>
          <w:sz w:val="24"/>
          <w:szCs w:val="24"/>
        </w:rPr>
        <w:t>, tanto de trámite, concentración e histórico.</w:t>
      </w:r>
    </w:p>
    <w:p w14:paraId="6B7AF1A4" w14:textId="77777777" w:rsidR="00BA57C4" w:rsidRDefault="00BA57C4" w:rsidP="00DC1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0D1CBF" w14:textId="77777777" w:rsidR="003F0BCA" w:rsidRPr="00383BFA" w:rsidRDefault="003F0BCA" w:rsidP="00DC15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83BFA">
        <w:rPr>
          <w:rFonts w:ascii="Arial" w:hAnsi="Arial" w:cs="Arial"/>
          <w:b/>
          <w:sz w:val="24"/>
          <w:szCs w:val="24"/>
        </w:rPr>
        <w:t>III.- Objetivos</w:t>
      </w:r>
    </w:p>
    <w:p w14:paraId="1C1494BE" w14:textId="77777777" w:rsidR="00285DCC" w:rsidRPr="00383BFA" w:rsidRDefault="00285DCC" w:rsidP="00DC1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1BC564" w14:textId="6E4BF8C8" w:rsidR="00C31F60" w:rsidRDefault="00367369" w:rsidP="00DC1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3BFA">
        <w:rPr>
          <w:rFonts w:ascii="Arial" w:hAnsi="Arial" w:cs="Arial"/>
          <w:sz w:val="24"/>
          <w:szCs w:val="24"/>
        </w:rPr>
        <w:t>General:</w:t>
      </w:r>
      <w:r w:rsidR="00C31F60">
        <w:rPr>
          <w:rFonts w:ascii="Arial" w:hAnsi="Arial" w:cs="Arial"/>
          <w:sz w:val="24"/>
          <w:szCs w:val="24"/>
        </w:rPr>
        <w:t xml:space="preserve"> </w:t>
      </w:r>
      <w:r w:rsidR="00677B52">
        <w:rPr>
          <w:rFonts w:ascii="Arial" w:hAnsi="Arial" w:cs="Arial"/>
          <w:sz w:val="24"/>
          <w:szCs w:val="24"/>
        </w:rPr>
        <w:t>Cont</w:t>
      </w:r>
      <w:r w:rsidR="004A37CB">
        <w:rPr>
          <w:rFonts w:ascii="Arial" w:hAnsi="Arial" w:cs="Arial"/>
          <w:sz w:val="24"/>
          <w:szCs w:val="24"/>
        </w:rPr>
        <w:t>ar</w:t>
      </w:r>
      <w:r w:rsidR="00677B52">
        <w:rPr>
          <w:rFonts w:ascii="Arial" w:hAnsi="Arial" w:cs="Arial"/>
          <w:sz w:val="24"/>
          <w:szCs w:val="24"/>
        </w:rPr>
        <w:t xml:space="preserve"> con un mapa de riesgos en materia archivística </w:t>
      </w:r>
      <w:r w:rsidR="004A4C95">
        <w:rPr>
          <w:rFonts w:ascii="Arial" w:hAnsi="Arial" w:cs="Arial"/>
          <w:sz w:val="24"/>
          <w:szCs w:val="24"/>
        </w:rPr>
        <w:t>y Consolidar</w:t>
      </w:r>
      <w:r w:rsidR="0077218F">
        <w:rPr>
          <w:rFonts w:ascii="Arial" w:hAnsi="Arial" w:cs="Arial"/>
          <w:sz w:val="24"/>
          <w:szCs w:val="24"/>
        </w:rPr>
        <w:t xml:space="preserve"> el </w:t>
      </w:r>
      <w:r w:rsidR="004A4C95">
        <w:rPr>
          <w:rFonts w:ascii="Arial" w:hAnsi="Arial" w:cs="Arial"/>
          <w:sz w:val="24"/>
          <w:szCs w:val="24"/>
        </w:rPr>
        <w:t xml:space="preserve">uso del </w:t>
      </w:r>
      <w:r w:rsidR="0077218F">
        <w:rPr>
          <w:rFonts w:ascii="Arial" w:hAnsi="Arial" w:cs="Arial"/>
          <w:sz w:val="24"/>
          <w:szCs w:val="24"/>
        </w:rPr>
        <w:t>Sistema</w:t>
      </w:r>
      <w:r w:rsidR="004A4C95">
        <w:rPr>
          <w:rFonts w:ascii="Arial" w:hAnsi="Arial" w:cs="Arial"/>
          <w:sz w:val="24"/>
          <w:szCs w:val="24"/>
        </w:rPr>
        <w:t xml:space="preserve"> Automatizado</w:t>
      </w:r>
      <w:r w:rsidR="0077218F">
        <w:rPr>
          <w:rFonts w:ascii="Arial" w:hAnsi="Arial" w:cs="Arial"/>
          <w:sz w:val="24"/>
          <w:szCs w:val="24"/>
        </w:rPr>
        <w:t xml:space="preserve"> de Gestión Documental SAGA</w:t>
      </w:r>
      <w:r w:rsidR="004A37CB">
        <w:rPr>
          <w:rFonts w:ascii="Arial" w:hAnsi="Arial" w:cs="Arial"/>
          <w:sz w:val="24"/>
          <w:szCs w:val="24"/>
        </w:rPr>
        <w:t>.</w:t>
      </w:r>
    </w:p>
    <w:p w14:paraId="2A40E50B" w14:textId="77777777" w:rsidR="004A37CB" w:rsidRDefault="004A37CB" w:rsidP="00DC1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CE915E" w14:textId="6791CE6F" w:rsidR="00E67CED" w:rsidRPr="00CE636F" w:rsidRDefault="00285DCC" w:rsidP="00DC15F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E636F">
        <w:rPr>
          <w:rFonts w:ascii="Arial" w:hAnsi="Arial" w:cs="Arial"/>
          <w:b/>
          <w:bCs/>
          <w:sz w:val="24"/>
          <w:szCs w:val="24"/>
        </w:rPr>
        <w:t>A corto plazo</w:t>
      </w:r>
      <w:r w:rsidR="00020681" w:rsidRPr="00CE636F">
        <w:rPr>
          <w:rFonts w:ascii="Arial" w:hAnsi="Arial" w:cs="Arial"/>
          <w:b/>
          <w:bCs/>
          <w:sz w:val="24"/>
          <w:szCs w:val="24"/>
        </w:rPr>
        <w:t>.</w:t>
      </w:r>
    </w:p>
    <w:p w14:paraId="7180D1BE" w14:textId="3DFFB97F" w:rsidR="00534B00" w:rsidRDefault="004A4C95" w:rsidP="00DC1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3008A2">
        <w:rPr>
          <w:rFonts w:ascii="Arial" w:hAnsi="Arial" w:cs="Arial"/>
          <w:sz w:val="24"/>
          <w:szCs w:val="24"/>
        </w:rPr>
        <w:t>apacitar al personal de la Unidad de Archivos respecto al uso d</w:t>
      </w:r>
      <w:r w:rsidR="004A37CB">
        <w:rPr>
          <w:rFonts w:ascii="Arial" w:hAnsi="Arial" w:cs="Arial"/>
          <w:sz w:val="24"/>
          <w:szCs w:val="24"/>
        </w:rPr>
        <w:t>el programa de</w:t>
      </w:r>
      <w:r w:rsidR="003008A2">
        <w:rPr>
          <w:rFonts w:ascii="Arial" w:hAnsi="Arial" w:cs="Arial"/>
          <w:sz w:val="24"/>
          <w:szCs w:val="24"/>
        </w:rPr>
        <w:t>l</w:t>
      </w:r>
      <w:r w:rsidR="004A37CB">
        <w:rPr>
          <w:rFonts w:ascii="Arial" w:hAnsi="Arial" w:cs="Arial"/>
          <w:sz w:val="24"/>
          <w:szCs w:val="24"/>
        </w:rPr>
        <w:t xml:space="preserve"> Sistema </w:t>
      </w:r>
      <w:r w:rsidR="003008A2">
        <w:rPr>
          <w:rFonts w:ascii="Arial" w:hAnsi="Arial" w:cs="Arial"/>
          <w:sz w:val="24"/>
          <w:szCs w:val="24"/>
        </w:rPr>
        <w:t xml:space="preserve">Automatizado </w:t>
      </w:r>
      <w:r w:rsidR="004A37CB">
        <w:rPr>
          <w:rFonts w:ascii="Arial" w:hAnsi="Arial" w:cs="Arial"/>
          <w:sz w:val="24"/>
          <w:szCs w:val="24"/>
        </w:rPr>
        <w:t>de Gestión Documental SAGA.</w:t>
      </w:r>
    </w:p>
    <w:p w14:paraId="09B00A3F" w14:textId="77777777" w:rsidR="00E67CED" w:rsidRDefault="00E67CED" w:rsidP="00DC1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9B1031" w14:textId="1F41668E" w:rsidR="003F0BCA" w:rsidRPr="00383BFA" w:rsidRDefault="004A37CB" w:rsidP="00DC1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Identificar </w:t>
      </w:r>
      <w:r w:rsidR="00C52018">
        <w:rPr>
          <w:rFonts w:ascii="Arial" w:hAnsi="Arial" w:cs="Arial"/>
          <w:sz w:val="24"/>
          <w:szCs w:val="24"/>
        </w:rPr>
        <w:t>las acciones, acontecimientos, o eventos</w:t>
      </w:r>
      <w:r w:rsidR="00C52018">
        <w:rPr>
          <w:rFonts w:ascii="Arial" w:hAnsi="Arial" w:cs="Arial"/>
          <w:sz w:val="24"/>
          <w:szCs w:val="24"/>
        </w:rPr>
        <w:t xml:space="preserve"> que representen un riesgo en la administración y gestión documental,</w:t>
      </w:r>
      <w:r w:rsidR="00C52018">
        <w:rPr>
          <w:rFonts w:ascii="Arial" w:hAnsi="Arial" w:cs="Arial"/>
          <w:sz w:val="24"/>
          <w:szCs w:val="24"/>
        </w:rPr>
        <w:t xml:space="preserve"> </w:t>
      </w:r>
      <w:r w:rsidR="00C52018">
        <w:rPr>
          <w:rFonts w:ascii="Arial" w:hAnsi="Arial" w:cs="Arial"/>
          <w:sz w:val="24"/>
          <w:szCs w:val="24"/>
        </w:rPr>
        <w:t>mediante la elaboración de un mapa de riesgos</w:t>
      </w:r>
      <w:r>
        <w:rPr>
          <w:rFonts w:ascii="Arial" w:hAnsi="Arial" w:cs="Arial"/>
          <w:sz w:val="24"/>
          <w:szCs w:val="24"/>
        </w:rPr>
        <w:t xml:space="preserve"> en materia archivística</w:t>
      </w:r>
      <w:r w:rsidR="00C5201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la Comisión Estatal de Derechos Humanos de Veracruz.</w:t>
      </w:r>
    </w:p>
    <w:p w14:paraId="7D99FA07" w14:textId="77777777" w:rsidR="00D25D0E" w:rsidRPr="00383BFA" w:rsidRDefault="00D25D0E" w:rsidP="00DC1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B073DE" w14:textId="2DDFE056" w:rsidR="00285DCC" w:rsidRPr="00CE636F" w:rsidRDefault="00BA5771" w:rsidP="00DC15F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E636F">
        <w:rPr>
          <w:rFonts w:ascii="Arial" w:hAnsi="Arial" w:cs="Arial"/>
          <w:b/>
          <w:bCs/>
          <w:sz w:val="24"/>
          <w:szCs w:val="24"/>
        </w:rPr>
        <w:t>A mediano</w:t>
      </w:r>
      <w:r w:rsidR="008B369E" w:rsidRPr="00CE636F">
        <w:rPr>
          <w:rFonts w:ascii="Arial" w:hAnsi="Arial" w:cs="Arial"/>
          <w:b/>
          <w:bCs/>
          <w:sz w:val="24"/>
          <w:szCs w:val="24"/>
        </w:rPr>
        <w:t xml:space="preserve"> y largo plazo</w:t>
      </w:r>
      <w:r w:rsidR="00790839" w:rsidRPr="00CE636F">
        <w:rPr>
          <w:rFonts w:ascii="Arial" w:hAnsi="Arial" w:cs="Arial"/>
          <w:b/>
          <w:bCs/>
          <w:sz w:val="24"/>
          <w:szCs w:val="24"/>
        </w:rPr>
        <w:t>.</w:t>
      </w:r>
    </w:p>
    <w:p w14:paraId="00AE033C" w14:textId="2EBECCEB" w:rsidR="00790839" w:rsidRDefault="00790839" w:rsidP="00DC1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C82F15" w14:textId="26621FC1" w:rsidR="00790839" w:rsidRDefault="00B23EE5" w:rsidP="00DC1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Consolidar</w:t>
      </w:r>
      <w:r w:rsidR="009E01C3">
        <w:rPr>
          <w:rFonts w:ascii="Arial" w:hAnsi="Arial" w:cs="Arial"/>
          <w:sz w:val="24"/>
          <w:szCs w:val="24"/>
        </w:rPr>
        <w:t xml:space="preserve"> el </w:t>
      </w:r>
      <w:r w:rsidR="00CE636F">
        <w:rPr>
          <w:rFonts w:ascii="Arial" w:hAnsi="Arial" w:cs="Arial"/>
          <w:sz w:val="24"/>
          <w:szCs w:val="24"/>
        </w:rPr>
        <w:t>uso del Sistema</w:t>
      </w:r>
      <w:r w:rsidR="000A1558">
        <w:rPr>
          <w:rFonts w:ascii="Arial" w:hAnsi="Arial" w:cs="Arial"/>
          <w:sz w:val="24"/>
          <w:szCs w:val="24"/>
        </w:rPr>
        <w:t xml:space="preserve"> Automatizado</w:t>
      </w:r>
      <w:r w:rsidR="00CE636F">
        <w:rPr>
          <w:rFonts w:ascii="Arial" w:hAnsi="Arial" w:cs="Arial"/>
          <w:sz w:val="24"/>
          <w:szCs w:val="24"/>
        </w:rPr>
        <w:t xml:space="preserve"> de Gestión Documental SAGA</w:t>
      </w:r>
      <w:r w:rsidR="000A1558">
        <w:rPr>
          <w:rFonts w:ascii="Arial" w:hAnsi="Arial" w:cs="Arial"/>
          <w:sz w:val="24"/>
          <w:szCs w:val="24"/>
        </w:rPr>
        <w:t xml:space="preserve"> en la Comisión Estatal de Derechos Humanos de Veracruz</w:t>
      </w:r>
      <w:r w:rsidR="009E01C3">
        <w:rPr>
          <w:rFonts w:ascii="Arial" w:hAnsi="Arial" w:cs="Arial"/>
          <w:sz w:val="24"/>
          <w:szCs w:val="24"/>
        </w:rPr>
        <w:t xml:space="preserve">. </w:t>
      </w:r>
    </w:p>
    <w:p w14:paraId="05DDA146" w14:textId="77777777" w:rsidR="00B23EE5" w:rsidRDefault="00B23EE5" w:rsidP="00DC1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894063" w14:textId="785AA474" w:rsidR="005F5A9C" w:rsidRPr="0077218F" w:rsidRDefault="00CE636F" w:rsidP="00DC1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Difundir el mapa de riesgos entre el personal de la Comisión Estatal de Derechos Humanos de Veracruz</w:t>
      </w:r>
      <w:r w:rsidR="0077218F" w:rsidRPr="00F43D70">
        <w:rPr>
          <w:rFonts w:ascii="Arial" w:hAnsi="Arial" w:cs="Arial"/>
          <w:sz w:val="24"/>
          <w:szCs w:val="24"/>
        </w:rPr>
        <w:t>.</w:t>
      </w:r>
    </w:p>
    <w:p w14:paraId="6231B043" w14:textId="77777777" w:rsidR="008F765D" w:rsidRDefault="008F765D" w:rsidP="00DC15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55A0448" w14:textId="5E89A953" w:rsidR="003F0BCA" w:rsidRPr="00383BFA" w:rsidRDefault="003F0BCA" w:rsidP="00DC15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83BFA">
        <w:rPr>
          <w:rFonts w:ascii="Arial" w:hAnsi="Arial" w:cs="Arial"/>
          <w:b/>
          <w:sz w:val="24"/>
          <w:szCs w:val="24"/>
        </w:rPr>
        <w:t xml:space="preserve">Específicos: </w:t>
      </w:r>
    </w:p>
    <w:p w14:paraId="09C42262" w14:textId="3890CB44" w:rsidR="003F0BCA" w:rsidRPr="00CE636F" w:rsidRDefault="003F0BCA" w:rsidP="00CE63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3E446B" w14:textId="09FC7A39" w:rsidR="0077218F" w:rsidRDefault="00AA7D51" w:rsidP="0077218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Contar con un </w:t>
      </w:r>
      <w:r w:rsidR="00CE636F">
        <w:rPr>
          <w:rFonts w:ascii="Arial" w:hAnsi="Arial" w:cs="Arial"/>
          <w:sz w:val="24"/>
          <w:szCs w:val="24"/>
        </w:rPr>
        <w:t>Mapa de Riesgos</w:t>
      </w:r>
      <w:r>
        <w:rPr>
          <w:rFonts w:ascii="Arial" w:hAnsi="Arial" w:cs="Arial"/>
          <w:sz w:val="24"/>
          <w:szCs w:val="24"/>
        </w:rPr>
        <w:t xml:space="preserve"> en materia archivística</w:t>
      </w:r>
      <w:r w:rsidR="00CE636F">
        <w:rPr>
          <w:rFonts w:ascii="Arial" w:hAnsi="Arial" w:cs="Arial"/>
          <w:sz w:val="24"/>
          <w:szCs w:val="24"/>
        </w:rPr>
        <w:t>.</w:t>
      </w:r>
    </w:p>
    <w:p w14:paraId="63B4A959" w14:textId="4C0CA198" w:rsidR="007D3DAC" w:rsidRPr="00270EA1" w:rsidRDefault="0077218F" w:rsidP="0077218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0EA1">
        <w:rPr>
          <w:rFonts w:ascii="Arial" w:hAnsi="Arial" w:cs="Arial"/>
          <w:sz w:val="24"/>
          <w:szCs w:val="24"/>
        </w:rPr>
        <w:t>Implementar eficientemente el</w:t>
      </w:r>
      <w:r w:rsidR="005004BC" w:rsidRPr="00270EA1">
        <w:rPr>
          <w:rFonts w:ascii="Arial" w:hAnsi="Arial" w:cs="Arial"/>
          <w:sz w:val="24"/>
          <w:szCs w:val="24"/>
        </w:rPr>
        <w:t xml:space="preserve"> </w:t>
      </w:r>
      <w:r w:rsidRPr="00270EA1">
        <w:rPr>
          <w:rFonts w:ascii="Arial" w:hAnsi="Arial" w:cs="Arial"/>
          <w:sz w:val="24"/>
          <w:szCs w:val="24"/>
        </w:rPr>
        <w:t xml:space="preserve">Sistema </w:t>
      </w:r>
      <w:r w:rsidR="000A1558">
        <w:rPr>
          <w:rFonts w:ascii="Arial" w:hAnsi="Arial" w:cs="Arial"/>
          <w:sz w:val="24"/>
          <w:szCs w:val="24"/>
        </w:rPr>
        <w:t xml:space="preserve">Automatizado </w:t>
      </w:r>
      <w:r w:rsidRPr="00270EA1">
        <w:rPr>
          <w:rFonts w:ascii="Arial" w:hAnsi="Arial" w:cs="Arial"/>
          <w:sz w:val="24"/>
          <w:szCs w:val="24"/>
        </w:rPr>
        <w:t>de Gestión Documental SAGA.</w:t>
      </w:r>
    </w:p>
    <w:p w14:paraId="3965884A" w14:textId="77777777" w:rsidR="00496B40" w:rsidRPr="00383BFA" w:rsidRDefault="00496B40" w:rsidP="00F277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188342" w14:textId="77777777" w:rsidR="002F2897" w:rsidRPr="00383BFA" w:rsidRDefault="002F2897" w:rsidP="00DC15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83BFA">
        <w:rPr>
          <w:rFonts w:ascii="Arial" w:hAnsi="Arial" w:cs="Arial"/>
          <w:b/>
          <w:sz w:val="24"/>
          <w:szCs w:val="24"/>
        </w:rPr>
        <w:t>IV.- Planeación</w:t>
      </w:r>
    </w:p>
    <w:p w14:paraId="04705651" w14:textId="77777777" w:rsidR="00652B3F" w:rsidRPr="00383BFA" w:rsidRDefault="00652B3F" w:rsidP="00DC1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AC2502" w14:textId="77777777" w:rsidR="002F2897" w:rsidRPr="00383BFA" w:rsidRDefault="002F2897" w:rsidP="00DC15F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83BFA">
        <w:rPr>
          <w:rFonts w:ascii="Arial" w:hAnsi="Arial" w:cs="Arial"/>
          <w:b/>
          <w:sz w:val="24"/>
          <w:szCs w:val="24"/>
        </w:rPr>
        <w:t>Requisitos</w:t>
      </w:r>
    </w:p>
    <w:p w14:paraId="3B14B7C9" w14:textId="77777777" w:rsidR="00652B3F" w:rsidRPr="00383BFA" w:rsidRDefault="00652B3F" w:rsidP="00652B3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15A77B6" w14:textId="4B682E34" w:rsidR="000424C3" w:rsidRPr="00415270" w:rsidRDefault="00AB09A8" w:rsidP="00415270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Identificar l</w:t>
      </w:r>
      <w:r w:rsidR="00415270">
        <w:rPr>
          <w:rFonts w:ascii="Arial" w:hAnsi="Arial" w:cs="Arial"/>
          <w:sz w:val="24"/>
          <w:szCs w:val="24"/>
        </w:rPr>
        <w:t>os posibles riesgos en Materia Archivística que pueden presentarse en la</w:t>
      </w:r>
      <w:r>
        <w:rPr>
          <w:rFonts w:ascii="Arial" w:hAnsi="Arial" w:cs="Arial"/>
          <w:sz w:val="24"/>
          <w:szCs w:val="24"/>
        </w:rPr>
        <w:t xml:space="preserve"> Comisión Estatal de Derechos Humanos de Veracruz</w:t>
      </w:r>
      <w:r w:rsidR="00554EF1">
        <w:rPr>
          <w:rFonts w:ascii="Arial" w:hAnsi="Arial" w:cs="Arial"/>
          <w:sz w:val="24"/>
          <w:szCs w:val="24"/>
        </w:rPr>
        <w:t>;</w:t>
      </w:r>
    </w:p>
    <w:p w14:paraId="19E923BF" w14:textId="10D144E7" w:rsidR="003168EA" w:rsidRDefault="00E21862" w:rsidP="00E21862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FF6DD3" w:rsidRPr="00383BFA">
        <w:rPr>
          <w:rFonts w:ascii="Arial" w:hAnsi="Arial" w:cs="Arial"/>
          <w:sz w:val="24"/>
          <w:szCs w:val="24"/>
        </w:rPr>
        <w:t>stablecer l</w:t>
      </w:r>
      <w:r w:rsidR="00415270">
        <w:rPr>
          <w:rFonts w:ascii="Arial" w:hAnsi="Arial" w:cs="Arial"/>
          <w:sz w:val="24"/>
          <w:szCs w:val="24"/>
        </w:rPr>
        <w:t>as acciones que deberán seguirse en caso de presentarse un riesgo</w:t>
      </w:r>
      <w:r w:rsidR="003168EA" w:rsidRPr="00383BFA">
        <w:rPr>
          <w:rFonts w:ascii="Arial" w:hAnsi="Arial" w:cs="Arial"/>
          <w:sz w:val="24"/>
          <w:szCs w:val="24"/>
        </w:rPr>
        <w:t>;</w:t>
      </w:r>
    </w:p>
    <w:p w14:paraId="52EA17BC" w14:textId="4C2CDA58" w:rsidR="0077218F" w:rsidRDefault="00AA0DF2" w:rsidP="00415270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Difundir entre el personal </w:t>
      </w:r>
      <w:r w:rsidR="00415270">
        <w:rPr>
          <w:rFonts w:ascii="Arial" w:hAnsi="Arial" w:cs="Arial"/>
          <w:sz w:val="24"/>
          <w:szCs w:val="24"/>
        </w:rPr>
        <w:t xml:space="preserve">el Mapa de Riesgos en Materia Archivística </w:t>
      </w:r>
      <w:r w:rsidR="0068005A">
        <w:rPr>
          <w:rFonts w:ascii="Arial" w:hAnsi="Arial" w:cs="Arial"/>
          <w:sz w:val="24"/>
          <w:szCs w:val="24"/>
        </w:rPr>
        <w:t>de la Comisión Estatal de Derechos Humanos</w:t>
      </w:r>
      <w:r w:rsidR="007359F0">
        <w:rPr>
          <w:rFonts w:ascii="Arial" w:hAnsi="Arial" w:cs="Arial"/>
          <w:sz w:val="24"/>
          <w:szCs w:val="24"/>
        </w:rPr>
        <w:t xml:space="preserve"> de Veracruz</w:t>
      </w:r>
      <w:r w:rsidR="0068005A">
        <w:rPr>
          <w:rFonts w:ascii="Arial" w:hAnsi="Arial" w:cs="Arial"/>
          <w:sz w:val="24"/>
          <w:szCs w:val="24"/>
        </w:rPr>
        <w:t xml:space="preserve">. </w:t>
      </w:r>
    </w:p>
    <w:p w14:paraId="2786746D" w14:textId="0E9614BE" w:rsidR="00A87928" w:rsidRDefault="00A87928" w:rsidP="00A87928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Manejar adecuadamente el Sistema Automatizado de Gestión.</w:t>
      </w:r>
    </w:p>
    <w:p w14:paraId="0DB5A7BD" w14:textId="77777777" w:rsidR="006521AD" w:rsidRDefault="006521AD" w:rsidP="006521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A1ADFA" w14:textId="6A09D5C0" w:rsidR="006521AD" w:rsidRDefault="006521AD" w:rsidP="00B65C2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83BFA">
        <w:rPr>
          <w:rFonts w:ascii="Arial" w:hAnsi="Arial" w:cs="Arial"/>
          <w:b/>
          <w:sz w:val="24"/>
          <w:szCs w:val="24"/>
        </w:rPr>
        <w:t>Recursos Humanos.</w:t>
      </w:r>
    </w:p>
    <w:p w14:paraId="1A0E41E7" w14:textId="77777777" w:rsidR="00B65C29" w:rsidRPr="00B65C29" w:rsidRDefault="00B65C29" w:rsidP="00B65C2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3-nfasis2"/>
        <w:tblW w:w="8931" w:type="dxa"/>
        <w:tblLook w:val="04A0" w:firstRow="1" w:lastRow="0" w:firstColumn="1" w:lastColumn="0" w:noHBand="0" w:noVBand="1"/>
      </w:tblPr>
      <w:tblGrid>
        <w:gridCol w:w="1558"/>
        <w:gridCol w:w="2809"/>
        <w:gridCol w:w="1839"/>
        <w:gridCol w:w="1575"/>
        <w:gridCol w:w="1150"/>
      </w:tblGrid>
      <w:tr w:rsidR="007400F3" w:rsidRPr="00383BFA" w14:paraId="028C53B3" w14:textId="77777777" w:rsidTr="00076E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</w:tcPr>
          <w:p w14:paraId="1F9C2FE1" w14:textId="77777777" w:rsidR="006521AD" w:rsidRPr="00383BFA" w:rsidRDefault="006521AD" w:rsidP="00076ED0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3BFA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2835" w:type="dxa"/>
          </w:tcPr>
          <w:p w14:paraId="45E59F55" w14:textId="77777777" w:rsidR="006521AD" w:rsidRPr="00383BFA" w:rsidRDefault="006521AD" w:rsidP="00076E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3BFA">
              <w:rPr>
                <w:rFonts w:ascii="Arial" w:hAnsi="Arial" w:cs="Arial"/>
                <w:sz w:val="24"/>
                <w:szCs w:val="24"/>
              </w:rPr>
              <w:t>Descripción</w:t>
            </w:r>
          </w:p>
        </w:tc>
        <w:tc>
          <w:tcPr>
            <w:tcW w:w="1842" w:type="dxa"/>
          </w:tcPr>
          <w:p w14:paraId="151E5C7E" w14:textId="77777777" w:rsidR="006521AD" w:rsidRPr="00383BFA" w:rsidRDefault="006521AD" w:rsidP="00076E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3BFA">
              <w:rPr>
                <w:rFonts w:ascii="Arial" w:hAnsi="Arial" w:cs="Arial"/>
                <w:sz w:val="24"/>
                <w:szCs w:val="24"/>
              </w:rPr>
              <w:t>Atribuciones</w:t>
            </w:r>
          </w:p>
        </w:tc>
        <w:tc>
          <w:tcPr>
            <w:tcW w:w="1581" w:type="dxa"/>
          </w:tcPr>
          <w:p w14:paraId="48CF14BB" w14:textId="77777777" w:rsidR="006521AD" w:rsidRPr="00383BFA" w:rsidRDefault="006521AD" w:rsidP="00076E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3BFA">
              <w:rPr>
                <w:rFonts w:ascii="Arial" w:hAnsi="Arial" w:cs="Arial"/>
                <w:sz w:val="24"/>
                <w:szCs w:val="24"/>
              </w:rPr>
              <w:t>Persona Asignada</w:t>
            </w:r>
          </w:p>
        </w:tc>
        <w:tc>
          <w:tcPr>
            <w:tcW w:w="1113" w:type="dxa"/>
          </w:tcPr>
          <w:p w14:paraId="4B5B244C" w14:textId="77777777" w:rsidR="006521AD" w:rsidRPr="00383BFA" w:rsidRDefault="006521AD" w:rsidP="00076E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3BFA">
              <w:rPr>
                <w:rFonts w:ascii="Arial" w:hAnsi="Arial" w:cs="Arial"/>
                <w:sz w:val="24"/>
                <w:szCs w:val="24"/>
              </w:rPr>
              <w:t>Jornada Laboral</w:t>
            </w:r>
          </w:p>
        </w:tc>
      </w:tr>
      <w:tr w:rsidR="007400F3" w:rsidRPr="00C70389" w14:paraId="43661F5C" w14:textId="77777777" w:rsidTr="00076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C73B691" w14:textId="77777777" w:rsidR="006521AD" w:rsidRPr="00C70389" w:rsidRDefault="006521AD" w:rsidP="00076E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Titular</w:t>
            </w:r>
            <w:r w:rsidRPr="00C70389">
              <w:rPr>
                <w:rFonts w:ascii="Arial" w:hAnsi="Arial" w:cs="Arial"/>
                <w:sz w:val="20"/>
                <w:szCs w:val="20"/>
              </w:rPr>
              <w:t xml:space="preserve"> de la Unidad de Archivos.</w:t>
            </w:r>
          </w:p>
        </w:tc>
        <w:tc>
          <w:tcPr>
            <w:tcW w:w="2835" w:type="dxa"/>
          </w:tcPr>
          <w:p w14:paraId="5E2FCFE3" w14:textId="5B383E57" w:rsidR="006521AD" w:rsidRPr="00C70389" w:rsidRDefault="006521AD" w:rsidP="00076E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acuerdo con el artículo 14 de los Lineamientos para la Gestión y Administración de la Comisión Estatal de Derechos Humanos de Veracruz, es el encargado de ejercer las funciones del</w:t>
            </w:r>
            <w:r w:rsidRPr="00C70389">
              <w:rPr>
                <w:rFonts w:ascii="Arial" w:hAnsi="Arial" w:cs="Arial"/>
                <w:sz w:val="20"/>
                <w:szCs w:val="20"/>
              </w:rPr>
              <w:t xml:space="preserve"> Área Coordinadora de Archivos</w:t>
            </w:r>
            <w:r w:rsidR="002503ED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Elaborar con la colaboración de los responsables de los archivos de trámite, de concentración, y en su caso histórico, los instrumentos de control archivístico previstos en las leyes generales. Coordinar los procesos de valoración y disposición documental. El área coordinadora de archivos promoverá que las áreas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operativas lleven a cabo las acciones de gestión documental y administración de los archivos.</w:t>
            </w:r>
          </w:p>
        </w:tc>
        <w:tc>
          <w:tcPr>
            <w:tcW w:w="1842" w:type="dxa"/>
          </w:tcPr>
          <w:p w14:paraId="6B4727EE" w14:textId="722DC317" w:rsidR="006521AD" w:rsidRPr="00C70389" w:rsidRDefault="006521AD" w:rsidP="00076E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0389">
              <w:rPr>
                <w:rFonts w:ascii="Arial" w:hAnsi="Arial" w:cs="Arial"/>
                <w:sz w:val="20"/>
                <w:szCs w:val="20"/>
              </w:rPr>
              <w:lastRenderedPageBreak/>
              <w:t>Las contenidas en los artículos 27 y 28 de la Ley General de Archivos</w:t>
            </w:r>
            <w:r w:rsidR="002503ED">
              <w:rPr>
                <w:rFonts w:ascii="Arial" w:hAnsi="Arial" w:cs="Arial"/>
                <w:sz w:val="20"/>
                <w:szCs w:val="20"/>
              </w:rPr>
              <w:t>;</w:t>
            </w:r>
            <w:r w:rsidRPr="00C7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0F3">
              <w:rPr>
                <w:rFonts w:ascii="Arial" w:hAnsi="Arial" w:cs="Arial"/>
                <w:sz w:val="20"/>
                <w:szCs w:val="20"/>
              </w:rPr>
              <w:t>a</w:t>
            </w:r>
            <w:r w:rsidRPr="00C70389">
              <w:rPr>
                <w:rFonts w:ascii="Arial" w:hAnsi="Arial" w:cs="Arial"/>
                <w:sz w:val="20"/>
                <w:szCs w:val="20"/>
              </w:rPr>
              <w:t>rtículo 92 del Reglamento Interior. Las estipuladas en el Manual de Organización de la CEDHV.</w:t>
            </w:r>
            <w:r>
              <w:rPr>
                <w:rFonts w:ascii="Arial" w:hAnsi="Arial" w:cs="Arial"/>
                <w:sz w:val="20"/>
                <w:szCs w:val="20"/>
              </w:rPr>
              <w:t xml:space="preserve"> Artículos 14 y 15 de los Lineamientos para la Gestión y Administración Documental de la Comisión Estatal de Derechos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Humanos Veracruz.  </w:t>
            </w:r>
          </w:p>
        </w:tc>
        <w:tc>
          <w:tcPr>
            <w:tcW w:w="1581" w:type="dxa"/>
          </w:tcPr>
          <w:p w14:paraId="23D3C7F4" w14:textId="77777777" w:rsidR="006521AD" w:rsidRPr="00C70389" w:rsidRDefault="006521AD" w:rsidP="00076E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0389">
              <w:rPr>
                <w:rFonts w:ascii="Arial" w:hAnsi="Arial" w:cs="Arial"/>
                <w:sz w:val="20"/>
                <w:szCs w:val="20"/>
              </w:rPr>
              <w:lastRenderedPageBreak/>
              <w:t>Lic. Edmundo Pérez López.</w:t>
            </w:r>
          </w:p>
        </w:tc>
        <w:tc>
          <w:tcPr>
            <w:tcW w:w="1113" w:type="dxa"/>
          </w:tcPr>
          <w:p w14:paraId="0EAAA41A" w14:textId="77777777" w:rsidR="006521AD" w:rsidRPr="00C70389" w:rsidRDefault="006521AD" w:rsidP="00076E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0389">
              <w:rPr>
                <w:rFonts w:ascii="Arial" w:hAnsi="Arial" w:cs="Arial"/>
                <w:sz w:val="20"/>
                <w:szCs w:val="20"/>
              </w:rPr>
              <w:t>De 09:00 a 18:00 horas.</w:t>
            </w:r>
          </w:p>
        </w:tc>
      </w:tr>
      <w:tr w:rsidR="007400F3" w:rsidRPr="00383BFA" w14:paraId="263D4F56" w14:textId="77777777" w:rsidTr="00076E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FCDE2D1" w14:textId="77777777" w:rsidR="006521AD" w:rsidRPr="00C70389" w:rsidRDefault="006521AD" w:rsidP="00076E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389">
              <w:rPr>
                <w:rFonts w:ascii="Arial" w:hAnsi="Arial" w:cs="Arial"/>
                <w:sz w:val="20"/>
                <w:szCs w:val="20"/>
              </w:rPr>
              <w:t xml:space="preserve">Encargada de Archivo de Concentración e Histórico. </w:t>
            </w:r>
          </w:p>
        </w:tc>
        <w:tc>
          <w:tcPr>
            <w:tcW w:w="2835" w:type="dxa"/>
          </w:tcPr>
          <w:p w14:paraId="58832FF6" w14:textId="09B4814F" w:rsidR="006521AD" w:rsidRPr="00C70389" w:rsidRDefault="006521AD" w:rsidP="00076E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0389">
              <w:rPr>
                <w:rFonts w:ascii="Arial" w:hAnsi="Arial" w:cs="Arial"/>
                <w:sz w:val="20"/>
                <w:szCs w:val="20"/>
              </w:rPr>
              <w:t xml:space="preserve">Administra los expedientes en la fase </w:t>
            </w:r>
            <w:proofErr w:type="spellStart"/>
            <w:r w:rsidRPr="00C70389">
              <w:rPr>
                <w:rFonts w:ascii="Arial" w:hAnsi="Arial" w:cs="Arial"/>
                <w:sz w:val="20"/>
                <w:szCs w:val="20"/>
              </w:rPr>
              <w:t>semi-activa</w:t>
            </w:r>
            <w:proofErr w:type="spellEnd"/>
            <w:r w:rsidRPr="00C70389">
              <w:rPr>
                <w:rFonts w:ascii="Arial" w:hAnsi="Arial" w:cs="Arial"/>
                <w:sz w:val="20"/>
                <w:szCs w:val="20"/>
              </w:rPr>
              <w:t xml:space="preserve"> y de consulta esporádica para el área generadora</w:t>
            </w:r>
            <w:r w:rsidR="00AE6F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0389">
              <w:rPr>
                <w:rFonts w:ascii="Arial" w:hAnsi="Arial" w:cs="Arial"/>
                <w:sz w:val="20"/>
                <w:szCs w:val="20"/>
              </w:rPr>
              <w:t>tanto de archivo de concentración como de archivo histórico, así como las transferencias primaria y secundaria al archivo de concentración, histórico y baja documental.</w:t>
            </w:r>
          </w:p>
        </w:tc>
        <w:tc>
          <w:tcPr>
            <w:tcW w:w="1842" w:type="dxa"/>
          </w:tcPr>
          <w:p w14:paraId="3BD3C782" w14:textId="1A814F81" w:rsidR="006521AD" w:rsidRPr="00C70389" w:rsidRDefault="006521AD" w:rsidP="00076E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0389">
              <w:rPr>
                <w:rFonts w:ascii="Arial" w:hAnsi="Arial" w:cs="Arial"/>
                <w:sz w:val="20"/>
                <w:szCs w:val="20"/>
              </w:rPr>
              <w:t>Las contenidas en los artículos 21 y 31 de la Ley General de Archivos</w:t>
            </w:r>
            <w:r w:rsidR="007400F3">
              <w:rPr>
                <w:rFonts w:ascii="Arial" w:hAnsi="Arial" w:cs="Arial"/>
                <w:sz w:val="20"/>
                <w:szCs w:val="20"/>
              </w:rPr>
              <w:t>;</w:t>
            </w:r>
            <w:r w:rsidRPr="00C7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0F3">
              <w:rPr>
                <w:rFonts w:ascii="Arial" w:hAnsi="Arial" w:cs="Arial"/>
                <w:sz w:val="20"/>
                <w:szCs w:val="20"/>
              </w:rPr>
              <w:t>a</w:t>
            </w:r>
            <w:r w:rsidRPr="00C70389">
              <w:rPr>
                <w:rFonts w:ascii="Arial" w:hAnsi="Arial" w:cs="Arial"/>
                <w:sz w:val="20"/>
                <w:szCs w:val="20"/>
              </w:rPr>
              <w:t>rtículo 92 Fracción XVIII y XIX del Reglamento Interior</w:t>
            </w:r>
            <w:r w:rsidR="007400F3">
              <w:rPr>
                <w:rFonts w:ascii="Arial" w:hAnsi="Arial" w:cs="Arial"/>
                <w:sz w:val="20"/>
                <w:szCs w:val="20"/>
              </w:rPr>
              <w:t>, l</w:t>
            </w:r>
            <w:r w:rsidRPr="00C70389">
              <w:rPr>
                <w:rFonts w:ascii="Arial" w:hAnsi="Arial" w:cs="Arial"/>
                <w:sz w:val="20"/>
                <w:szCs w:val="20"/>
              </w:rPr>
              <w:t>as estipuladas en el Manual de Organización de la CEDHV.</w:t>
            </w:r>
          </w:p>
        </w:tc>
        <w:tc>
          <w:tcPr>
            <w:tcW w:w="1581" w:type="dxa"/>
          </w:tcPr>
          <w:p w14:paraId="4699A995" w14:textId="77777777" w:rsidR="006521AD" w:rsidRPr="00C70389" w:rsidRDefault="006521AD" w:rsidP="00076E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0389">
              <w:rPr>
                <w:rFonts w:ascii="Arial" w:hAnsi="Arial" w:cs="Arial"/>
                <w:sz w:val="20"/>
                <w:szCs w:val="20"/>
              </w:rPr>
              <w:t>C. Blanca Báez Condado.</w:t>
            </w:r>
          </w:p>
        </w:tc>
        <w:tc>
          <w:tcPr>
            <w:tcW w:w="1113" w:type="dxa"/>
          </w:tcPr>
          <w:p w14:paraId="100B8D6D" w14:textId="77777777" w:rsidR="006521AD" w:rsidRPr="00C70389" w:rsidRDefault="006521AD" w:rsidP="00076E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0389">
              <w:rPr>
                <w:rFonts w:ascii="Arial" w:hAnsi="Arial" w:cs="Arial"/>
                <w:sz w:val="20"/>
                <w:szCs w:val="20"/>
              </w:rPr>
              <w:t>De 09:00 a 18:00 horas.</w:t>
            </w:r>
          </w:p>
        </w:tc>
      </w:tr>
      <w:tr w:rsidR="007400F3" w:rsidRPr="00383BFA" w14:paraId="2CFC3155" w14:textId="77777777" w:rsidTr="00076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9196DB0" w14:textId="77777777" w:rsidR="006521AD" w:rsidRPr="00C70389" w:rsidRDefault="006521AD" w:rsidP="00076E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389">
              <w:rPr>
                <w:rFonts w:ascii="Arial" w:hAnsi="Arial" w:cs="Arial"/>
                <w:sz w:val="20"/>
                <w:szCs w:val="20"/>
              </w:rPr>
              <w:t xml:space="preserve"> Auxiliar</w:t>
            </w:r>
            <w:r>
              <w:rPr>
                <w:rFonts w:ascii="Arial" w:hAnsi="Arial" w:cs="Arial"/>
                <w:sz w:val="20"/>
                <w:szCs w:val="20"/>
              </w:rPr>
              <w:t xml:space="preserve"> Administrativo</w:t>
            </w:r>
          </w:p>
        </w:tc>
        <w:tc>
          <w:tcPr>
            <w:tcW w:w="2835" w:type="dxa"/>
          </w:tcPr>
          <w:p w14:paraId="7F91AB70" w14:textId="77777777" w:rsidR="006521AD" w:rsidRPr="00C70389" w:rsidRDefault="006521AD" w:rsidP="00076E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0389">
              <w:rPr>
                <w:rFonts w:ascii="Arial" w:hAnsi="Arial" w:cs="Arial"/>
                <w:sz w:val="20"/>
                <w:szCs w:val="20"/>
              </w:rPr>
              <w:t>Administra los expedientes en la fase activa y de consulta diaria para el área generadora.</w:t>
            </w:r>
            <w:r w:rsidRPr="00C70389">
              <w:rPr>
                <w:sz w:val="20"/>
                <w:szCs w:val="20"/>
              </w:rPr>
              <w:t xml:space="preserve"> </w:t>
            </w:r>
            <w:r w:rsidRPr="00C70389">
              <w:rPr>
                <w:rFonts w:ascii="Arial" w:hAnsi="Arial" w:cs="Arial"/>
                <w:sz w:val="20"/>
                <w:szCs w:val="20"/>
              </w:rPr>
              <w:t>El o la Titular de este puesto se encarga de brindar apoyo para el buen desempeño de las funciones a que se refiere el artículo 92 del Reglamento Interno de la Comisión Estatal de Derechos Humanos, publicado en la Gaceta Oficial del Estado de fecha 22 de enero de 2019.</w:t>
            </w:r>
          </w:p>
        </w:tc>
        <w:tc>
          <w:tcPr>
            <w:tcW w:w="1842" w:type="dxa"/>
          </w:tcPr>
          <w:p w14:paraId="126AD1DD" w14:textId="5AF7CCDA" w:rsidR="006521AD" w:rsidRPr="00C70389" w:rsidRDefault="006521AD" w:rsidP="00076E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0389">
              <w:rPr>
                <w:rFonts w:ascii="Arial" w:hAnsi="Arial" w:cs="Arial"/>
                <w:sz w:val="20"/>
                <w:szCs w:val="20"/>
              </w:rPr>
              <w:t>Las contenidas en los artículos Artículo 21 y 30 de la Ley General de Archivos Artículo 92 Fracción XIX del Reglamento Interior</w:t>
            </w:r>
            <w:r w:rsidR="007400F3">
              <w:rPr>
                <w:rFonts w:ascii="Arial" w:hAnsi="Arial" w:cs="Arial"/>
                <w:sz w:val="20"/>
                <w:szCs w:val="20"/>
              </w:rPr>
              <w:t>;</w:t>
            </w:r>
            <w:r w:rsidRPr="00C7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0F3">
              <w:rPr>
                <w:rFonts w:ascii="Arial" w:hAnsi="Arial" w:cs="Arial"/>
                <w:sz w:val="20"/>
                <w:szCs w:val="20"/>
              </w:rPr>
              <w:t>l</w:t>
            </w:r>
            <w:r w:rsidRPr="00C70389">
              <w:rPr>
                <w:rFonts w:ascii="Arial" w:hAnsi="Arial" w:cs="Arial"/>
                <w:sz w:val="20"/>
                <w:szCs w:val="20"/>
              </w:rPr>
              <w:t>as estipuladas en el Manual de Organización de la CEDHV.</w:t>
            </w:r>
          </w:p>
        </w:tc>
        <w:tc>
          <w:tcPr>
            <w:tcW w:w="1581" w:type="dxa"/>
          </w:tcPr>
          <w:p w14:paraId="2701CD99" w14:textId="77777777" w:rsidR="006521AD" w:rsidRPr="00C70389" w:rsidRDefault="006521AD" w:rsidP="00076E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0389">
              <w:rPr>
                <w:rFonts w:ascii="Arial" w:hAnsi="Arial" w:cs="Arial"/>
                <w:sz w:val="20"/>
                <w:szCs w:val="20"/>
              </w:rPr>
              <w:t>C. Pedro Ramón Rivera Cuevas.</w:t>
            </w:r>
          </w:p>
        </w:tc>
        <w:tc>
          <w:tcPr>
            <w:tcW w:w="1113" w:type="dxa"/>
          </w:tcPr>
          <w:p w14:paraId="0B3936E9" w14:textId="77777777" w:rsidR="006521AD" w:rsidRPr="00C70389" w:rsidRDefault="006521AD" w:rsidP="00076E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0389">
              <w:rPr>
                <w:rFonts w:ascii="Arial" w:hAnsi="Arial" w:cs="Arial"/>
                <w:sz w:val="20"/>
                <w:szCs w:val="20"/>
              </w:rPr>
              <w:t>De 09:00 a 18:00 horas.</w:t>
            </w:r>
          </w:p>
        </w:tc>
      </w:tr>
      <w:tr w:rsidR="007400F3" w:rsidRPr="00383BFA" w14:paraId="35BFE0E7" w14:textId="77777777" w:rsidTr="00076E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1FD558E" w14:textId="77777777" w:rsidR="006521AD" w:rsidRPr="00C70389" w:rsidRDefault="006521AD" w:rsidP="00076E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389"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2835" w:type="dxa"/>
          </w:tcPr>
          <w:p w14:paraId="4EC813F5" w14:textId="77777777" w:rsidR="006521AD" w:rsidRPr="00C70389" w:rsidRDefault="006521AD" w:rsidP="00076E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persona que se desempeñe como</w:t>
            </w:r>
            <w:r w:rsidRPr="00C70389">
              <w:rPr>
                <w:rFonts w:ascii="Arial" w:hAnsi="Arial" w:cs="Arial"/>
                <w:sz w:val="20"/>
                <w:szCs w:val="20"/>
              </w:rPr>
              <w:t xml:space="preserve"> Titular de este puesto tiene a su cargo el apoyo secretarial de captura, archivo, recibo y distribución de documentación que se reciba o genere en la Unidad, así como otorgar apoyo administrativo en las actividades propias del área.</w:t>
            </w:r>
          </w:p>
        </w:tc>
        <w:tc>
          <w:tcPr>
            <w:tcW w:w="1842" w:type="dxa"/>
          </w:tcPr>
          <w:p w14:paraId="6CB28301" w14:textId="42F0C41C" w:rsidR="006521AD" w:rsidRPr="00C70389" w:rsidRDefault="006521AD" w:rsidP="00076E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0389">
              <w:rPr>
                <w:rFonts w:ascii="Arial" w:hAnsi="Arial" w:cs="Arial"/>
                <w:sz w:val="20"/>
                <w:szCs w:val="20"/>
              </w:rPr>
              <w:t>Las estipuladas en el Manual de Organización de la CEDHV.</w:t>
            </w:r>
          </w:p>
        </w:tc>
        <w:tc>
          <w:tcPr>
            <w:tcW w:w="1581" w:type="dxa"/>
          </w:tcPr>
          <w:p w14:paraId="1758B7E0" w14:textId="77777777" w:rsidR="006521AD" w:rsidRPr="00C70389" w:rsidRDefault="006521AD" w:rsidP="00076E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0389">
              <w:rPr>
                <w:rFonts w:ascii="Arial" w:hAnsi="Arial" w:cs="Arial"/>
                <w:sz w:val="20"/>
                <w:szCs w:val="20"/>
              </w:rPr>
              <w:t>C. Elizabeth García Córdoba.</w:t>
            </w:r>
          </w:p>
        </w:tc>
        <w:tc>
          <w:tcPr>
            <w:tcW w:w="1113" w:type="dxa"/>
          </w:tcPr>
          <w:p w14:paraId="4192BF40" w14:textId="77777777" w:rsidR="006521AD" w:rsidRPr="00C70389" w:rsidRDefault="006521AD" w:rsidP="00076E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0389">
              <w:rPr>
                <w:rFonts w:ascii="Arial" w:hAnsi="Arial" w:cs="Arial"/>
                <w:sz w:val="20"/>
                <w:szCs w:val="20"/>
              </w:rPr>
              <w:t>De 09:00 a 18:00 horas.</w:t>
            </w:r>
          </w:p>
        </w:tc>
      </w:tr>
    </w:tbl>
    <w:p w14:paraId="1D23D1EA" w14:textId="77777777" w:rsidR="006521AD" w:rsidRDefault="006521AD" w:rsidP="006521A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238C93D" w14:textId="77777777" w:rsidR="006521AD" w:rsidRPr="00383BFA" w:rsidRDefault="006521AD" w:rsidP="006521A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83BFA">
        <w:rPr>
          <w:rFonts w:ascii="Arial" w:hAnsi="Arial" w:cs="Arial"/>
          <w:b/>
          <w:sz w:val="24"/>
          <w:szCs w:val="24"/>
        </w:rPr>
        <w:t>Materiales.</w:t>
      </w:r>
    </w:p>
    <w:p w14:paraId="578CEAB9" w14:textId="77777777" w:rsidR="006521AD" w:rsidRPr="00383BFA" w:rsidRDefault="006521AD" w:rsidP="006521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3-nfasis2"/>
        <w:tblW w:w="0" w:type="auto"/>
        <w:tblLook w:val="04A0" w:firstRow="1" w:lastRow="0" w:firstColumn="1" w:lastColumn="0" w:noHBand="0" w:noVBand="1"/>
      </w:tblPr>
      <w:tblGrid>
        <w:gridCol w:w="2946"/>
        <w:gridCol w:w="2937"/>
        <w:gridCol w:w="2945"/>
      </w:tblGrid>
      <w:tr w:rsidR="006521AD" w:rsidRPr="00383BFA" w14:paraId="11892A94" w14:textId="77777777" w:rsidTr="00076E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46" w:type="dxa"/>
          </w:tcPr>
          <w:p w14:paraId="54159293" w14:textId="77777777" w:rsidR="006521AD" w:rsidRPr="00383BFA" w:rsidRDefault="006521AD" w:rsidP="00076ED0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3BFA">
              <w:rPr>
                <w:rFonts w:ascii="Arial" w:hAnsi="Arial" w:cs="Arial"/>
                <w:sz w:val="24"/>
                <w:szCs w:val="24"/>
              </w:rPr>
              <w:t>Insumos</w:t>
            </w:r>
          </w:p>
        </w:tc>
        <w:tc>
          <w:tcPr>
            <w:tcW w:w="2937" w:type="dxa"/>
          </w:tcPr>
          <w:p w14:paraId="5AA4FA4D" w14:textId="77777777" w:rsidR="006521AD" w:rsidRPr="00383BFA" w:rsidRDefault="006521AD" w:rsidP="00076E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3BFA">
              <w:rPr>
                <w:rFonts w:ascii="Arial" w:hAnsi="Arial" w:cs="Arial"/>
                <w:sz w:val="24"/>
                <w:szCs w:val="24"/>
              </w:rPr>
              <w:t>Cantidad</w:t>
            </w:r>
          </w:p>
        </w:tc>
        <w:tc>
          <w:tcPr>
            <w:tcW w:w="2945" w:type="dxa"/>
          </w:tcPr>
          <w:p w14:paraId="06234134" w14:textId="77777777" w:rsidR="006521AD" w:rsidRPr="00383BFA" w:rsidRDefault="006521AD" w:rsidP="00076ED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3BFA">
              <w:rPr>
                <w:rFonts w:ascii="Arial" w:hAnsi="Arial" w:cs="Arial"/>
                <w:sz w:val="24"/>
                <w:szCs w:val="24"/>
              </w:rPr>
              <w:t xml:space="preserve"> Costo aproximado</w:t>
            </w:r>
          </w:p>
        </w:tc>
      </w:tr>
      <w:tr w:rsidR="006521AD" w:rsidRPr="00383BFA" w14:paraId="47914059" w14:textId="77777777" w:rsidTr="00076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6" w:type="dxa"/>
          </w:tcPr>
          <w:p w14:paraId="56333C91" w14:textId="77777777" w:rsidR="006521AD" w:rsidRPr="00383BFA" w:rsidRDefault="006521AD" w:rsidP="00076E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3BFA">
              <w:rPr>
                <w:rFonts w:ascii="Arial" w:hAnsi="Arial" w:cs="Arial"/>
                <w:sz w:val="24"/>
                <w:szCs w:val="24"/>
              </w:rPr>
              <w:t xml:space="preserve">Rollos de Rafia </w:t>
            </w:r>
          </w:p>
        </w:tc>
        <w:tc>
          <w:tcPr>
            <w:tcW w:w="2937" w:type="dxa"/>
          </w:tcPr>
          <w:p w14:paraId="06A7677D" w14:textId="77777777" w:rsidR="006521AD" w:rsidRPr="00383BFA" w:rsidRDefault="006521AD" w:rsidP="00076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3BF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45" w:type="dxa"/>
          </w:tcPr>
          <w:p w14:paraId="5F39CD99" w14:textId="77777777" w:rsidR="006521AD" w:rsidRPr="00383BFA" w:rsidRDefault="006521AD" w:rsidP="00076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3BFA">
              <w:rPr>
                <w:rFonts w:ascii="Arial" w:hAnsi="Arial" w:cs="Arial"/>
                <w:sz w:val="24"/>
                <w:szCs w:val="24"/>
              </w:rPr>
              <w:t>$269.12</w:t>
            </w:r>
          </w:p>
        </w:tc>
      </w:tr>
      <w:tr w:rsidR="006521AD" w:rsidRPr="00383BFA" w14:paraId="5BB48380" w14:textId="77777777" w:rsidTr="00076E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6" w:type="dxa"/>
          </w:tcPr>
          <w:p w14:paraId="2A5E610A" w14:textId="77777777" w:rsidR="006521AD" w:rsidRPr="00383BFA" w:rsidRDefault="006521AD" w:rsidP="00076E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3BFA">
              <w:rPr>
                <w:rFonts w:ascii="Arial" w:hAnsi="Arial" w:cs="Arial"/>
                <w:sz w:val="24"/>
                <w:szCs w:val="24"/>
              </w:rPr>
              <w:t>Cono de Hilo de Poliéster 8/30</w:t>
            </w:r>
          </w:p>
        </w:tc>
        <w:tc>
          <w:tcPr>
            <w:tcW w:w="2937" w:type="dxa"/>
          </w:tcPr>
          <w:p w14:paraId="01BD73C9" w14:textId="77777777" w:rsidR="006521AD" w:rsidRPr="00383BFA" w:rsidRDefault="006521AD" w:rsidP="00076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3BF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45" w:type="dxa"/>
          </w:tcPr>
          <w:p w14:paraId="5C0F8D81" w14:textId="77777777" w:rsidR="006521AD" w:rsidRPr="00383BFA" w:rsidRDefault="006521AD" w:rsidP="00076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3BFA">
              <w:rPr>
                <w:rFonts w:ascii="Arial" w:hAnsi="Arial" w:cs="Arial"/>
                <w:sz w:val="24"/>
                <w:szCs w:val="24"/>
              </w:rPr>
              <w:t>$576.00</w:t>
            </w:r>
          </w:p>
        </w:tc>
      </w:tr>
      <w:tr w:rsidR="006521AD" w:rsidRPr="00383BFA" w14:paraId="5472B0CC" w14:textId="77777777" w:rsidTr="00076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6" w:type="dxa"/>
          </w:tcPr>
          <w:p w14:paraId="3725BD16" w14:textId="77777777" w:rsidR="006521AD" w:rsidRPr="00383BFA" w:rsidRDefault="006521AD" w:rsidP="00076E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3BFA">
              <w:rPr>
                <w:rFonts w:ascii="Arial" w:hAnsi="Arial" w:cs="Arial"/>
                <w:sz w:val="24"/>
                <w:szCs w:val="24"/>
              </w:rPr>
              <w:t>Hilo de Algodón</w:t>
            </w:r>
          </w:p>
        </w:tc>
        <w:tc>
          <w:tcPr>
            <w:tcW w:w="2937" w:type="dxa"/>
          </w:tcPr>
          <w:p w14:paraId="3DD3CAEF" w14:textId="77777777" w:rsidR="006521AD" w:rsidRPr="00383BFA" w:rsidRDefault="006521AD" w:rsidP="00076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3BF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945" w:type="dxa"/>
          </w:tcPr>
          <w:p w14:paraId="011D19C8" w14:textId="77777777" w:rsidR="006521AD" w:rsidRPr="00383BFA" w:rsidRDefault="006521AD" w:rsidP="00076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3BFA">
              <w:rPr>
                <w:rFonts w:ascii="Arial" w:hAnsi="Arial" w:cs="Arial"/>
                <w:sz w:val="24"/>
                <w:szCs w:val="24"/>
              </w:rPr>
              <w:t>$300</w:t>
            </w:r>
            <w:r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6521AD" w:rsidRPr="00383BFA" w14:paraId="66168C49" w14:textId="77777777" w:rsidTr="00076ED0">
        <w:trPr>
          <w:trHeight w:val="1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6" w:type="dxa"/>
          </w:tcPr>
          <w:p w14:paraId="4EF56338" w14:textId="77777777" w:rsidR="006521AD" w:rsidRPr="00383BFA" w:rsidRDefault="006521AD" w:rsidP="00076E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3BFA">
              <w:rPr>
                <w:rFonts w:ascii="Arial" w:hAnsi="Arial" w:cs="Arial"/>
                <w:sz w:val="24"/>
                <w:szCs w:val="24"/>
              </w:rPr>
              <w:lastRenderedPageBreak/>
              <w:t>Cajas para conservación de archivos</w:t>
            </w:r>
            <w:r w:rsidRPr="00383BFA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8052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de</w:t>
            </w:r>
            <w:r w:rsidRPr="00F80522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80522">
              <w:rPr>
                <w:rFonts w:ascii="Arial" w:hAnsi="Arial" w:cs="Arial"/>
                <w:sz w:val="24"/>
                <w:szCs w:val="24"/>
              </w:rPr>
              <w:t>Cartón fibra libre de ácido y lignina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37" w:type="dxa"/>
          </w:tcPr>
          <w:p w14:paraId="36EC29DF" w14:textId="77777777" w:rsidR="006521AD" w:rsidRPr="00383BFA" w:rsidRDefault="006521AD" w:rsidP="00076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383BFA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945" w:type="dxa"/>
          </w:tcPr>
          <w:p w14:paraId="1D0F1147" w14:textId="77777777" w:rsidR="006521AD" w:rsidRPr="00383BFA" w:rsidRDefault="006521AD" w:rsidP="00076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3BFA">
              <w:rPr>
                <w:rFonts w:ascii="Arial" w:hAnsi="Arial" w:cs="Arial"/>
                <w:sz w:val="24"/>
                <w:szCs w:val="24"/>
              </w:rPr>
              <w:t xml:space="preserve">$ </w:t>
            </w:r>
            <w:r>
              <w:rPr>
                <w:rFonts w:ascii="Arial" w:hAnsi="Arial" w:cs="Arial"/>
                <w:sz w:val="24"/>
                <w:szCs w:val="24"/>
              </w:rPr>
              <w:t>13,229.48</w:t>
            </w:r>
          </w:p>
        </w:tc>
      </w:tr>
    </w:tbl>
    <w:p w14:paraId="56AA2136" w14:textId="77777777" w:rsidR="006521AD" w:rsidRPr="006521AD" w:rsidRDefault="006521AD" w:rsidP="006521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9B66A3" w14:textId="77777777" w:rsidR="00AC4C1B" w:rsidRPr="00383BFA" w:rsidRDefault="00AC4C1B" w:rsidP="00DC1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3784CE" w14:textId="2129DB3B" w:rsidR="00605FD8" w:rsidRPr="00383BFA" w:rsidRDefault="002F2897" w:rsidP="00DC15F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83BFA">
        <w:rPr>
          <w:rFonts w:ascii="Arial" w:hAnsi="Arial" w:cs="Arial"/>
          <w:b/>
          <w:sz w:val="24"/>
          <w:szCs w:val="24"/>
        </w:rPr>
        <w:t>Alcance</w:t>
      </w:r>
      <w:r w:rsidR="00F27716">
        <w:rPr>
          <w:rFonts w:ascii="Arial" w:hAnsi="Arial" w:cs="Arial"/>
          <w:b/>
          <w:sz w:val="24"/>
          <w:szCs w:val="24"/>
        </w:rPr>
        <w:t>s</w:t>
      </w:r>
      <w:r w:rsidR="000845F3" w:rsidRPr="00383BFA">
        <w:rPr>
          <w:rFonts w:ascii="Arial" w:hAnsi="Arial" w:cs="Arial"/>
          <w:b/>
          <w:sz w:val="24"/>
          <w:szCs w:val="24"/>
        </w:rPr>
        <w:t>.</w:t>
      </w:r>
    </w:p>
    <w:p w14:paraId="28EECD92" w14:textId="110559BA" w:rsidR="00652B3F" w:rsidRDefault="00652B3F" w:rsidP="00F277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DF1476" w14:textId="20370185" w:rsidR="00C5790A" w:rsidRDefault="006521AD" w:rsidP="00290D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F27716">
        <w:rPr>
          <w:rFonts w:ascii="Arial" w:hAnsi="Arial" w:cs="Arial"/>
          <w:sz w:val="24"/>
          <w:szCs w:val="24"/>
        </w:rPr>
        <w:t>Plan</w:t>
      </w:r>
      <w:r w:rsidR="00B65E4F">
        <w:rPr>
          <w:rFonts w:ascii="Arial" w:hAnsi="Arial" w:cs="Arial"/>
          <w:sz w:val="24"/>
          <w:szCs w:val="24"/>
        </w:rPr>
        <w:t xml:space="preserve"> Anual</w:t>
      </w:r>
      <w:r w:rsidR="00F27716">
        <w:rPr>
          <w:rFonts w:ascii="Arial" w:hAnsi="Arial" w:cs="Arial"/>
          <w:sz w:val="24"/>
          <w:szCs w:val="24"/>
        </w:rPr>
        <w:t xml:space="preserve"> </w:t>
      </w:r>
      <w:r w:rsidR="005B088B">
        <w:rPr>
          <w:rFonts w:ascii="Arial" w:hAnsi="Arial" w:cs="Arial"/>
          <w:sz w:val="24"/>
          <w:szCs w:val="24"/>
        </w:rPr>
        <w:t xml:space="preserve">de Desarrollo Archivístico </w:t>
      </w:r>
      <w:r>
        <w:rPr>
          <w:rFonts w:ascii="Arial" w:hAnsi="Arial" w:cs="Arial"/>
          <w:sz w:val="24"/>
          <w:szCs w:val="24"/>
        </w:rPr>
        <w:t>2024 permitirá realizar la planeación de las actividades para</w:t>
      </w:r>
      <w:r w:rsidR="00C514B2">
        <w:rPr>
          <w:rFonts w:ascii="Arial" w:hAnsi="Arial" w:cs="Arial"/>
          <w:sz w:val="24"/>
          <w:szCs w:val="24"/>
        </w:rPr>
        <w:t xml:space="preserve"> comprender la naturaleza, las fuentes y causas de los riesgos que puedan presentarse en la Comisión Estatal de Derechos Humanos de Veracruz</w:t>
      </w:r>
      <w:r w:rsidR="00170826">
        <w:rPr>
          <w:rFonts w:ascii="Arial" w:hAnsi="Arial" w:cs="Arial"/>
          <w:sz w:val="24"/>
          <w:szCs w:val="24"/>
        </w:rPr>
        <w:t xml:space="preserve">, lo </w:t>
      </w:r>
      <w:r>
        <w:rPr>
          <w:rFonts w:ascii="Arial" w:hAnsi="Arial" w:cs="Arial"/>
          <w:sz w:val="24"/>
          <w:szCs w:val="24"/>
        </w:rPr>
        <w:t>que</w:t>
      </w:r>
      <w:r w:rsidR="00170826">
        <w:rPr>
          <w:rFonts w:ascii="Arial" w:hAnsi="Arial" w:cs="Arial"/>
          <w:sz w:val="24"/>
          <w:szCs w:val="24"/>
        </w:rPr>
        <w:t xml:space="preserve"> implica estimar la probabilidad y el impacto del riesgo</w:t>
      </w:r>
      <w:r>
        <w:rPr>
          <w:rFonts w:ascii="Arial" w:hAnsi="Arial" w:cs="Arial"/>
          <w:sz w:val="24"/>
          <w:szCs w:val="24"/>
        </w:rPr>
        <w:t>.</w:t>
      </w:r>
      <w:r w:rsidR="001708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170826">
        <w:rPr>
          <w:rFonts w:ascii="Arial" w:hAnsi="Arial" w:cs="Arial"/>
          <w:sz w:val="24"/>
          <w:szCs w:val="24"/>
        </w:rPr>
        <w:t>na vez que se conozca el impacto o la consecuencia se podrá determinar las acciones a implementar</w:t>
      </w:r>
      <w:r>
        <w:rPr>
          <w:rFonts w:ascii="Arial" w:hAnsi="Arial" w:cs="Arial"/>
          <w:sz w:val="24"/>
          <w:szCs w:val="24"/>
        </w:rPr>
        <w:t xml:space="preserve"> en el corto, mediano y largo plazo</w:t>
      </w:r>
      <w:r w:rsidR="00170826">
        <w:rPr>
          <w:rFonts w:ascii="Arial" w:hAnsi="Arial" w:cs="Arial"/>
          <w:sz w:val="24"/>
          <w:szCs w:val="24"/>
        </w:rPr>
        <w:t xml:space="preserve"> para estar en posibilidad de reducir su ocurrencia o en su defecto, minimizar al máximo los daños posibles.</w:t>
      </w:r>
    </w:p>
    <w:p w14:paraId="1489F47D" w14:textId="77777777" w:rsidR="00B65E4F" w:rsidRPr="00170826" w:rsidRDefault="00B65E4F" w:rsidP="00290D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96ED44" w14:textId="3691EDD1" w:rsidR="00290D5A" w:rsidRDefault="00E54129" w:rsidP="00290D5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 otro </w:t>
      </w:r>
      <w:r w:rsidR="00465383">
        <w:rPr>
          <w:rFonts w:ascii="Arial" w:hAnsi="Arial" w:cs="Arial"/>
          <w:bCs/>
          <w:sz w:val="24"/>
          <w:szCs w:val="24"/>
        </w:rPr>
        <w:t>lado,</w:t>
      </w:r>
      <w:r>
        <w:rPr>
          <w:rFonts w:ascii="Arial" w:hAnsi="Arial" w:cs="Arial"/>
          <w:bCs/>
          <w:sz w:val="24"/>
          <w:szCs w:val="24"/>
        </w:rPr>
        <w:t xml:space="preserve"> con la implementación del </w:t>
      </w:r>
      <w:r w:rsidR="00465383">
        <w:rPr>
          <w:rFonts w:ascii="Arial" w:hAnsi="Arial" w:cs="Arial"/>
          <w:bCs/>
          <w:sz w:val="24"/>
          <w:szCs w:val="24"/>
        </w:rPr>
        <w:t>Sistema Automatizado para la Gestión de Archivos</w:t>
      </w:r>
      <w:r w:rsidR="00271230">
        <w:rPr>
          <w:rFonts w:ascii="Arial" w:hAnsi="Arial" w:cs="Arial"/>
          <w:bCs/>
          <w:sz w:val="24"/>
          <w:szCs w:val="24"/>
        </w:rPr>
        <w:t xml:space="preserve"> (SAGA), se espera </w:t>
      </w:r>
      <w:r w:rsidR="000D46EE">
        <w:rPr>
          <w:rFonts w:ascii="Arial" w:hAnsi="Arial" w:cs="Arial"/>
          <w:bCs/>
          <w:sz w:val="24"/>
          <w:szCs w:val="24"/>
        </w:rPr>
        <w:t xml:space="preserve">dar puntual cumplimiento a lo establecido en </w:t>
      </w:r>
      <w:r w:rsidR="00755BB0">
        <w:rPr>
          <w:rFonts w:ascii="Arial" w:hAnsi="Arial" w:cs="Arial"/>
          <w:bCs/>
          <w:sz w:val="24"/>
          <w:szCs w:val="24"/>
        </w:rPr>
        <w:t>los</w:t>
      </w:r>
      <w:r w:rsidR="006521AD">
        <w:rPr>
          <w:rFonts w:ascii="Arial" w:hAnsi="Arial" w:cs="Arial"/>
          <w:bCs/>
          <w:sz w:val="24"/>
          <w:szCs w:val="24"/>
        </w:rPr>
        <w:t xml:space="preserve"> artículo</w:t>
      </w:r>
      <w:r w:rsidR="00755BB0">
        <w:rPr>
          <w:rFonts w:ascii="Arial" w:hAnsi="Arial" w:cs="Arial"/>
          <w:bCs/>
          <w:sz w:val="24"/>
          <w:szCs w:val="24"/>
        </w:rPr>
        <w:t>s</w:t>
      </w:r>
      <w:r w:rsidR="006521AD">
        <w:rPr>
          <w:rFonts w:ascii="Arial" w:hAnsi="Arial" w:cs="Arial"/>
          <w:bCs/>
          <w:sz w:val="24"/>
          <w:szCs w:val="24"/>
        </w:rPr>
        <w:t xml:space="preserve"> 28 fracción V</w:t>
      </w:r>
      <w:r w:rsidR="00755BB0">
        <w:rPr>
          <w:rFonts w:ascii="Arial" w:hAnsi="Arial" w:cs="Arial"/>
          <w:bCs/>
          <w:sz w:val="24"/>
          <w:szCs w:val="24"/>
        </w:rPr>
        <w:t xml:space="preserve"> y 52 fracción V de </w:t>
      </w:r>
      <w:r w:rsidR="000D46EE">
        <w:rPr>
          <w:rFonts w:ascii="Arial" w:hAnsi="Arial" w:cs="Arial"/>
          <w:bCs/>
          <w:sz w:val="24"/>
          <w:szCs w:val="24"/>
        </w:rPr>
        <w:t xml:space="preserve">la Ley General de </w:t>
      </w:r>
      <w:r w:rsidR="00A87928">
        <w:rPr>
          <w:rFonts w:ascii="Arial" w:hAnsi="Arial" w:cs="Arial"/>
          <w:bCs/>
          <w:sz w:val="24"/>
          <w:szCs w:val="24"/>
        </w:rPr>
        <w:t>Archivos,</w:t>
      </w:r>
      <w:r w:rsidR="000D46EE">
        <w:rPr>
          <w:rFonts w:ascii="Arial" w:hAnsi="Arial" w:cs="Arial"/>
          <w:bCs/>
          <w:sz w:val="24"/>
          <w:szCs w:val="24"/>
        </w:rPr>
        <w:t xml:space="preserve"> así como automatizar los procesos en materia archivística que se llevan a cabo en la Comisión Estatal de Derechos Humanos de Veracruz. </w:t>
      </w:r>
      <w:r w:rsidR="00465383">
        <w:rPr>
          <w:rFonts w:ascii="Arial" w:hAnsi="Arial" w:cs="Arial"/>
          <w:bCs/>
          <w:sz w:val="24"/>
          <w:szCs w:val="24"/>
        </w:rPr>
        <w:t xml:space="preserve"> </w:t>
      </w:r>
    </w:p>
    <w:p w14:paraId="6BAAE155" w14:textId="77777777" w:rsidR="00013D97" w:rsidRPr="000D46EE" w:rsidRDefault="00013D97" w:rsidP="00F2771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6E6C317" w14:textId="77777777" w:rsidR="00605FD8" w:rsidRPr="00383BFA" w:rsidRDefault="00605FD8" w:rsidP="00DC15F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83BFA">
        <w:rPr>
          <w:rFonts w:ascii="Arial" w:hAnsi="Arial" w:cs="Arial"/>
          <w:b/>
          <w:sz w:val="24"/>
          <w:szCs w:val="24"/>
        </w:rPr>
        <w:t>Entregables</w:t>
      </w:r>
      <w:r w:rsidR="00345C6C" w:rsidRPr="00383BFA">
        <w:rPr>
          <w:rFonts w:ascii="Arial" w:hAnsi="Arial" w:cs="Arial"/>
          <w:b/>
          <w:sz w:val="24"/>
          <w:szCs w:val="24"/>
        </w:rPr>
        <w:t>.</w:t>
      </w:r>
    </w:p>
    <w:p w14:paraId="7DD71D7F" w14:textId="77777777" w:rsidR="00652B3F" w:rsidRPr="00383BFA" w:rsidRDefault="00652B3F" w:rsidP="00652B3F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09390AA" w14:textId="0ED4B995" w:rsidR="00574D01" w:rsidRDefault="00574D01" w:rsidP="00574D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3BFA">
        <w:rPr>
          <w:rFonts w:ascii="Arial" w:hAnsi="Arial" w:cs="Arial"/>
          <w:sz w:val="24"/>
          <w:szCs w:val="24"/>
        </w:rPr>
        <w:t xml:space="preserve">Con la implementación de las actividades </w:t>
      </w:r>
      <w:r w:rsidR="00424E1E">
        <w:rPr>
          <w:rFonts w:ascii="Arial" w:hAnsi="Arial" w:cs="Arial"/>
          <w:sz w:val="24"/>
          <w:szCs w:val="24"/>
        </w:rPr>
        <w:t>del</w:t>
      </w:r>
      <w:r w:rsidRPr="00383BFA">
        <w:rPr>
          <w:rFonts w:ascii="Arial" w:hAnsi="Arial" w:cs="Arial"/>
          <w:sz w:val="24"/>
          <w:szCs w:val="24"/>
        </w:rPr>
        <w:t xml:space="preserve"> PADA 202</w:t>
      </w:r>
      <w:r w:rsidR="000D46EE">
        <w:rPr>
          <w:rFonts w:ascii="Arial" w:hAnsi="Arial" w:cs="Arial"/>
          <w:sz w:val="24"/>
          <w:szCs w:val="24"/>
        </w:rPr>
        <w:t>4</w:t>
      </w:r>
      <w:r w:rsidRPr="00383BFA">
        <w:rPr>
          <w:rFonts w:ascii="Arial" w:hAnsi="Arial" w:cs="Arial"/>
          <w:sz w:val="24"/>
          <w:szCs w:val="24"/>
        </w:rPr>
        <w:t>, se obtendrán los siguientes documentos</w:t>
      </w:r>
      <w:r w:rsidR="00554EF1">
        <w:rPr>
          <w:rFonts w:ascii="Arial" w:hAnsi="Arial" w:cs="Arial"/>
          <w:sz w:val="24"/>
          <w:szCs w:val="24"/>
        </w:rPr>
        <w:t>:</w:t>
      </w:r>
      <w:r w:rsidRPr="00383BFA">
        <w:rPr>
          <w:rFonts w:ascii="Arial" w:hAnsi="Arial" w:cs="Arial"/>
          <w:sz w:val="24"/>
          <w:szCs w:val="24"/>
        </w:rPr>
        <w:t xml:space="preserve"> </w:t>
      </w:r>
    </w:p>
    <w:p w14:paraId="7821A997" w14:textId="77777777" w:rsidR="00CA10AB" w:rsidRPr="00383BFA" w:rsidRDefault="00CA10AB" w:rsidP="00574D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3-nfasis2"/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CA10AB" w:rsidRPr="00383BFA" w14:paraId="019EC58E" w14:textId="77777777" w:rsidTr="00D22C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19" w:type="dxa"/>
          </w:tcPr>
          <w:p w14:paraId="3E73EBE9" w14:textId="77777777" w:rsidR="00CA10AB" w:rsidRPr="00383BFA" w:rsidRDefault="00CA10AB" w:rsidP="00574D01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3BFA">
              <w:rPr>
                <w:rFonts w:ascii="Arial" w:hAnsi="Arial" w:cs="Arial"/>
                <w:sz w:val="24"/>
                <w:szCs w:val="24"/>
              </w:rPr>
              <w:t>Documento o acción</w:t>
            </w:r>
          </w:p>
        </w:tc>
        <w:tc>
          <w:tcPr>
            <w:tcW w:w="5387" w:type="dxa"/>
          </w:tcPr>
          <w:p w14:paraId="002E0C69" w14:textId="77777777" w:rsidR="00CA10AB" w:rsidRPr="00383BFA" w:rsidRDefault="00CA10AB" w:rsidP="00574D0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3BFA">
              <w:rPr>
                <w:rFonts w:ascii="Arial" w:hAnsi="Arial" w:cs="Arial"/>
                <w:sz w:val="24"/>
                <w:szCs w:val="24"/>
              </w:rPr>
              <w:t>Acciones a realizar</w:t>
            </w:r>
          </w:p>
        </w:tc>
      </w:tr>
      <w:tr w:rsidR="00574D01" w:rsidRPr="00383BFA" w14:paraId="2C6A75F9" w14:textId="77777777" w:rsidTr="00D22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430D8EE9" w14:textId="30E378A2" w:rsidR="00574D01" w:rsidRPr="00383BFA" w:rsidRDefault="000D46EE" w:rsidP="00574D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Mapa de Riesgos</w:t>
            </w:r>
            <w:r w:rsidR="000E21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14:paraId="7A305CF1" w14:textId="652247EF" w:rsidR="00574D01" w:rsidRPr="00383BFA" w:rsidRDefault="000E211A" w:rsidP="00574D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Realizar documento en donde se </w:t>
            </w:r>
            <w:r w:rsidR="000D46EE">
              <w:rPr>
                <w:rFonts w:ascii="Arial" w:hAnsi="Arial" w:cs="Arial"/>
                <w:sz w:val="24"/>
                <w:szCs w:val="24"/>
              </w:rPr>
              <w:t>identifiquen los riegos y las acciones que se llevar</w:t>
            </w:r>
            <w:r w:rsidR="00755BB0">
              <w:rPr>
                <w:rFonts w:ascii="Arial" w:hAnsi="Arial" w:cs="Arial"/>
                <w:sz w:val="24"/>
                <w:szCs w:val="24"/>
              </w:rPr>
              <w:t>á</w:t>
            </w:r>
            <w:r w:rsidR="000D46EE">
              <w:rPr>
                <w:rFonts w:ascii="Arial" w:hAnsi="Arial" w:cs="Arial"/>
                <w:sz w:val="24"/>
                <w:szCs w:val="24"/>
              </w:rPr>
              <w:t>n a cabo cuando estos se presenten.</w:t>
            </w:r>
          </w:p>
        </w:tc>
      </w:tr>
      <w:tr w:rsidR="00F31AD0" w:rsidRPr="00383BFA" w14:paraId="72AB3833" w14:textId="77777777" w:rsidTr="00D22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3B9A75B2" w14:textId="56DB22A7" w:rsidR="00F31AD0" w:rsidRPr="00383BFA" w:rsidRDefault="00A87928" w:rsidP="00F31A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Implementación del Sistema Automatizado de Gestión de Archivos (SAGA)</w:t>
            </w:r>
          </w:p>
        </w:tc>
        <w:tc>
          <w:tcPr>
            <w:tcW w:w="5387" w:type="dxa"/>
          </w:tcPr>
          <w:p w14:paraId="2FA1F11A" w14:textId="50A71361" w:rsidR="00F31AD0" w:rsidRPr="00383BFA" w:rsidRDefault="000C6811" w:rsidP="00F31A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Integrar el </w:t>
            </w:r>
            <w:r w:rsidR="00A87928">
              <w:rPr>
                <w:rFonts w:ascii="Arial" w:hAnsi="Arial" w:cs="Arial"/>
                <w:sz w:val="24"/>
                <w:szCs w:val="24"/>
              </w:rPr>
              <w:t>Cuadro de Clasificación Archivística</w:t>
            </w:r>
            <w:r>
              <w:rPr>
                <w:rFonts w:ascii="Arial" w:hAnsi="Arial" w:cs="Arial"/>
                <w:sz w:val="24"/>
                <w:szCs w:val="24"/>
              </w:rPr>
              <w:t>, Catálogo de Disposición Documental, e Inventarios al SAGA.</w:t>
            </w:r>
            <w:r w:rsidR="00A879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614EF05" w14:textId="77777777" w:rsidR="000828FB" w:rsidRPr="00383BFA" w:rsidRDefault="000828FB" w:rsidP="00DC1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1FC610" w14:textId="77777777" w:rsidR="00605FD8" w:rsidRPr="00383BFA" w:rsidRDefault="00605FD8" w:rsidP="00DC15F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83BFA">
        <w:rPr>
          <w:rFonts w:ascii="Arial" w:hAnsi="Arial" w:cs="Arial"/>
          <w:b/>
          <w:sz w:val="24"/>
          <w:szCs w:val="24"/>
        </w:rPr>
        <w:t>Actividades</w:t>
      </w:r>
      <w:r w:rsidR="00345C6C" w:rsidRPr="00383BFA">
        <w:rPr>
          <w:rFonts w:ascii="Arial" w:hAnsi="Arial" w:cs="Arial"/>
          <w:b/>
          <w:sz w:val="24"/>
          <w:szCs w:val="24"/>
        </w:rPr>
        <w:t>.</w:t>
      </w:r>
    </w:p>
    <w:p w14:paraId="0DFE50B9" w14:textId="77777777" w:rsidR="00652B3F" w:rsidRPr="00383BFA" w:rsidRDefault="00652B3F" w:rsidP="00652B3F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A0AC261" w14:textId="5BC07666" w:rsidR="00755BB0" w:rsidRDefault="00755BB0" w:rsidP="00DC15F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Capacitar al personal que usara el Sistema Automatizado para la Gestión de Archivos (SAGA).</w:t>
      </w:r>
    </w:p>
    <w:p w14:paraId="706B74E3" w14:textId="6F2E9B5A" w:rsidR="00605FD8" w:rsidRPr="00383BFA" w:rsidRDefault="00E03DE3" w:rsidP="00DC15F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3BFA">
        <w:rPr>
          <w:rFonts w:ascii="Arial" w:hAnsi="Arial" w:cs="Arial"/>
          <w:sz w:val="24"/>
          <w:szCs w:val="24"/>
        </w:rPr>
        <w:t>Ejercer</w:t>
      </w:r>
      <w:r w:rsidR="00FC1764" w:rsidRPr="00383BFA">
        <w:rPr>
          <w:rFonts w:ascii="Arial" w:hAnsi="Arial" w:cs="Arial"/>
          <w:sz w:val="24"/>
          <w:szCs w:val="24"/>
        </w:rPr>
        <w:t xml:space="preserve"> cada una de las atribuciones y</w:t>
      </w:r>
      <w:r w:rsidR="009027AD" w:rsidRPr="00383BFA">
        <w:rPr>
          <w:rFonts w:ascii="Arial" w:hAnsi="Arial" w:cs="Arial"/>
          <w:sz w:val="24"/>
          <w:szCs w:val="24"/>
        </w:rPr>
        <w:t xml:space="preserve"> facultades </w:t>
      </w:r>
      <w:r w:rsidR="00CE3D66">
        <w:rPr>
          <w:rFonts w:ascii="Arial" w:hAnsi="Arial" w:cs="Arial"/>
          <w:sz w:val="24"/>
          <w:szCs w:val="24"/>
        </w:rPr>
        <w:t xml:space="preserve">de </w:t>
      </w:r>
      <w:r w:rsidR="009027AD" w:rsidRPr="00383BFA">
        <w:rPr>
          <w:rFonts w:ascii="Arial" w:hAnsi="Arial" w:cs="Arial"/>
          <w:sz w:val="24"/>
          <w:szCs w:val="24"/>
        </w:rPr>
        <w:t>la Unidad de Archivos de la Comisión Esta</w:t>
      </w:r>
      <w:r w:rsidRPr="00383BFA">
        <w:rPr>
          <w:rFonts w:ascii="Arial" w:hAnsi="Arial" w:cs="Arial"/>
          <w:sz w:val="24"/>
          <w:szCs w:val="24"/>
        </w:rPr>
        <w:t>tal de Derechos Humanos</w:t>
      </w:r>
      <w:r w:rsidR="00E82308">
        <w:rPr>
          <w:rFonts w:ascii="Arial" w:hAnsi="Arial" w:cs="Arial"/>
          <w:sz w:val="24"/>
          <w:szCs w:val="24"/>
        </w:rPr>
        <w:t xml:space="preserve"> de Veracruz</w:t>
      </w:r>
      <w:r w:rsidRPr="00383BFA">
        <w:rPr>
          <w:rFonts w:ascii="Arial" w:hAnsi="Arial" w:cs="Arial"/>
          <w:sz w:val="24"/>
          <w:szCs w:val="24"/>
        </w:rPr>
        <w:t xml:space="preserve"> pa</w:t>
      </w:r>
      <w:r w:rsidR="009D0ECB" w:rsidRPr="00383BFA">
        <w:rPr>
          <w:rFonts w:ascii="Arial" w:hAnsi="Arial" w:cs="Arial"/>
          <w:sz w:val="24"/>
          <w:szCs w:val="24"/>
        </w:rPr>
        <w:t xml:space="preserve">ra cumplir con las obligaciones previstas en la Ley </w:t>
      </w:r>
      <w:r w:rsidR="009027AD" w:rsidRPr="00383BFA">
        <w:rPr>
          <w:rFonts w:ascii="Arial" w:hAnsi="Arial" w:cs="Arial"/>
          <w:sz w:val="24"/>
          <w:szCs w:val="24"/>
        </w:rPr>
        <w:t xml:space="preserve">General de Archivos como en el Reglamento Interno de la </w:t>
      </w:r>
      <w:r w:rsidR="00FC1764" w:rsidRPr="00383BFA">
        <w:rPr>
          <w:rFonts w:ascii="Arial" w:hAnsi="Arial" w:cs="Arial"/>
          <w:sz w:val="24"/>
          <w:szCs w:val="24"/>
        </w:rPr>
        <w:t>CEDHV</w:t>
      </w:r>
      <w:r w:rsidR="00E82308">
        <w:rPr>
          <w:rFonts w:ascii="Arial" w:hAnsi="Arial" w:cs="Arial"/>
          <w:sz w:val="24"/>
          <w:szCs w:val="24"/>
        </w:rPr>
        <w:t xml:space="preserve"> y los Lineamientos para la Administración y Gestión Documental de la CEDHV</w:t>
      </w:r>
      <w:r w:rsidR="00FC1764" w:rsidRPr="00383BFA">
        <w:rPr>
          <w:rFonts w:ascii="Arial" w:hAnsi="Arial" w:cs="Arial"/>
          <w:sz w:val="24"/>
          <w:szCs w:val="24"/>
        </w:rPr>
        <w:t>.</w:t>
      </w:r>
    </w:p>
    <w:p w14:paraId="3642BCF2" w14:textId="1FE2F67F" w:rsidR="0013160C" w:rsidRDefault="0013160C" w:rsidP="00DC15F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Capturar</w:t>
      </w:r>
      <w:r w:rsidR="009027AD" w:rsidRPr="00383BFA">
        <w:rPr>
          <w:rFonts w:ascii="Arial" w:hAnsi="Arial" w:cs="Arial"/>
          <w:sz w:val="24"/>
          <w:szCs w:val="24"/>
        </w:rPr>
        <w:t xml:space="preserve"> los inventarios de los Ar</w:t>
      </w:r>
      <w:r>
        <w:rPr>
          <w:rFonts w:ascii="Arial" w:hAnsi="Arial" w:cs="Arial"/>
          <w:sz w:val="24"/>
          <w:szCs w:val="24"/>
        </w:rPr>
        <w:t>chivos de</w:t>
      </w:r>
      <w:r w:rsidR="009027AD" w:rsidRPr="00383BFA">
        <w:rPr>
          <w:rFonts w:ascii="Arial" w:hAnsi="Arial" w:cs="Arial"/>
          <w:sz w:val="24"/>
          <w:szCs w:val="24"/>
        </w:rPr>
        <w:t xml:space="preserve"> Conc</w:t>
      </w:r>
      <w:r w:rsidR="00426861" w:rsidRPr="00383BFA">
        <w:rPr>
          <w:rFonts w:ascii="Arial" w:hAnsi="Arial" w:cs="Arial"/>
          <w:sz w:val="24"/>
          <w:szCs w:val="24"/>
        </w:rPr>
        <w:t>entración e Histórico</w:t>
      </w:r>
      <w:r>
        <w:rPr>
          <w:rFonts w:ascii="Arial" w:hAnsi="Arial" w:cs="Arial"/>
          <w:sz w:val="24"/>
          <w:szCs w:val="24"/>
        </w:rPr>
        <w:t xml:space="preserve"> en el Sistema de Automatización para la Gestión de Archivos</w:t>
      </w:r>
      <w:r w:rsidR="00755BB0">
        <w:rPr>
          <w:rFonts w:ascii="Arial" w:hAnsi="Arial" w:cs="Arial"/>
          <w:sz w:val="24"/>
          <w:szCs w:val="24"/>
        </w:rPr>
        <w:t xml:space="preserve"> (SAGA).</w:t>
      </w:r>
    </w:p>
    <w:p w14:paraId="1A3CA0CD" w14:textId="4805E517" w:rsidR="00605FD8" w:rsidRPr="00383BFA" w:rsidRDefault="0013160C" w:rsidP="00DC15F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Capturar el Cuadro de Clasificación Archivística y el Catálogo de Disposición Documental en el Sistema de Automatización para la Gestión de Archivos</w:t>
      </w:r>
      <w:r w:rsidR="00755BB0">
        <w:rPr>
          <w:rFonts w:ascii="Arial" w:hAnsi="Arial" w:cs="Arial"/>
          <w:sz w:val="24"/>
          <w:szCs w:val="24"/>
        </w:rPr>
        <w:t xml:space="preserve"> (SAGA)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2F29AE93" w14:textId="21A0FE8E" w:rsidR="00605FD8" w:rsidRPr="00DA3FB5" w:rsidRDefault="009027AD" w:rsidP="00DA3FB5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3BFA">
        <w:rPr>
          <w:rFonts w:ascii="Arial" w:hAnsi="Arial" w:cs="Arial"/>
          <w:sz w:val="24"/>
          <w:szCs w:val="24"/>
        </w:rPr>
        <w:t>Propiciar la Capacitación continua</w:t>
      </w:r>
      <w:r w:rsidR="00426861" w:rsidRPr="00383BFA">
        <w:rPr>
          <w:rFonts w:ascii="Arial" w:hAnsi="Arial" w:cs="Arial"/>
          <w:sz w:val="24"/>
          <w:szCs w:val="24"/>
        </w:rPr>
        <w:t xml:space="preserve"> </w:t>
      </w:r>
      <w:r w:rsidR="00CE3D66">
        <w:rPr>
          <w:rFonts w:ascii="Arial" w:hAnsi="Arial" w:cs="Arial"/>
          <w:sz w:val="24"/>
          <w:szCs w:val="24"/>
        </w:rPr>
        <w:t>d</w:t>
      </w:r>
      <w:r w:rsidR="00426861" w:rsidRPr="00383BFA">
        <w:rPr>
          <w:rFonts w:ascii="Arial" w:hAnsi="Arial" w:cs="Arial"/>
          <w:sz w:val="24"/>
          <w:szCs w:val="24"/>
        </w:rPr>
        <w:t>el personal de la CEDHV</w:t>
      </w:r>
      <w:r w:rsidRPr="00383BFA">
        <w:rPr>
          <w:rFonts w:ascii="Arial" w:hAnsi="Arial" w:cs="Arial"/>
          <w:sz w:val="24"/>
          <w:szCs w:val="24"/>
        </w:rPr>
        <w:t xml:space="preserve"> en </w:t>
      </w:r>
      <w:r w:rsidR="00CE3D66">
        <w:rPr>
          <w:rFonts w:ascii="Arial" w:hAnsi="Arial" w:cs="Arial"/>
          <w:sz w:val="24"/>
          <w:szCs w:val="24"/>
        </w:rPr>
        <w:t>m</w:t>
      </w:r>
      <w:r w:rsidRPr="00383BFA">
        <w:rPr>
          <w:rFonts w:ascii="Arial" w:hAnsi="Arial" w:cs="Arial"/>
          <w:sz w:val="24"/>
          <w:szCs w:val="24"/>
        </w:rPr>
        <w:t xml:space="preserve">ateria de </w:t>
      </w:r>
      <w:r w:rsidR="00CE3D66">
        <w:rPr>
          <w:rFonts w:ascii="Arial" w:hAnsi="Arial" w:cs="Arial"/>
          <w:sz w:val="24"/>
          <w:szCs w:val="24"/>
        </w:rPr>
        <w:t>a</w:t>
      </w:r>
      <w:r w:rsidRPr="00383BFA">
        <w:rPr>
          <w:rFonts w:ascii="Arial" w:hAnsi="Arial" w:cs="Arial"/>
          <w:sz w:val="24"/>
          <w:szCs w:val="24"/>
        </w:rPr>
        <w:t>rchivos</w:t>
      </w:r>
      <w:r w:rsidR="00FC1764" w:rsidRPr="00383BFA">
        <w:rPr>
          <w:rFonts w:ascii="Arial" w:hAnsi="Arial" w:cs="Arial"/>
          <w:sz w:val="24"/>
          <w:szCs w:val="24"/>
        </w:rPr>
        <w:t>.</w:t>
      </w:r>
    </w:p>
    <w:p w14:paraId="226A3D87" w14:textId="1FC01DA3" w:rsidR="0013160C" w:rsidRDefault="0013160C" w:rsidP="00CA6F88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Llevar a cabo las bajas documentales de los expedientes que han cumplido con su vigencia documental. </w:t>
      </w:r>
    </w:p>
    <w:p w14:paraId="64D92E92" w14:textId="3D19D0C0" w:rsidR="00605FD8" w:rsidRPr="00CA6F88" w:rsidRDefault="00426861" w:rsidP="00CA6F88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3BFA">
        <w:rPr>
          <w:rFonts w:ascii="Arial" w:hAnsi="Arial" w:cs="Arial"/>
          <w:sz w:val="24"/>
          <w:szCs w:val="24"/>
        </w:rPr>
        <w:t>Rendir el Informe A</w:t>
      </w:r>
      <w:r w:rsidR="009027AD" w:rsidRPr="00383BFA">
        <w:rPr>
          <w:rFonts w:ascii="Arial" w:hAnsi="Arial" w:cs="Arial"/>
          <w:sz w:val="24"/>
          <w:szCs w:val="24"/>
        </w:rPr>
        <w:t>nual de cumplimiento del PADA</w:t>
      </w:r>
      <w:r w:rsidR="00C7089E">
        <w:rPr>
          <w:rFonts w:ascii="Arial" w:hAnsi="Arial" w:cs="Arial"/>
          <w:sz w:val="24"/>
          <w:szCs w:val="24"/>
        </w:rPr>
        <w:t>.</w:t>
      </w:r>
    </w:p>
    <w:p w14:paraId="0AAD4EEC" w14:textId="395C57AD" w:rsidR="00DA3FB5" w:rsidRDefault="00DA3FB5" w:rsidP="00DC15F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Resguard</w:t>
      </w:r>
      <w:r w:rsidR="00CE3D66">
        <w:rPr>
          <w:rFonts w:ascii="Arial" w:hAnsi="Arial" w:cs="Arial"/>
          <w:sz w:val="24"/>
          <w:szCs w:val="24"/>
        </w:rPr>
        <w:t>ar</w:t>
      </w:r>
      <w:r>
        <w:rPr>
          <w:rFonts w:ascii="Arial" w:hAnsi="Arial" w:cs="Arial"/>
          <w:sz w:val="24"/>
          <w:szCs w:val="24"/>
        </w:rPr>
        <w:t xml:space="preserve"> expedientes históricos en cajas </w:t>
      </w:r>
      <w:r w:rsidR="006C45E1">
        <w:rPr>
          <w:rFonts w:ascii="Arial" w:hAnsi="Arial" w:cs="Arial"/>
          <w:sz w:val="24"/>
          <w:szCs w:val="24"/>
        </w:rPr>
        <w:t>AG</w:t>
      </w:r>
      <w:r w:rsidR="00EB3E32">
        <w:rPr>
          <w:rFonts w:ascii="Arial" w:hAnsi="Arial" w:cs="Arial"/>
          <w:sz w:val="24"/>
          <w:szCs w:val="24"/>
        </w:rPr>
        <w:t>-12</w:t>
      </w:r>
      <w:r>
        <w:rPr>
          <w:rFonts w:ascii="Arial" w:hAnsi="Arial" w:cs="Arial"/>
          <w:sz w:val="24"/>
          <w:szCs w:val="24"/>
        </w:rPr>
        <w:t>.</w:t>
      </w:r>
    </w:p>
    <w:p w14:paraId="45B4734E" w14:textId="77777777" w:rsidR="003422D5" w:rsidRPr="00383BFA" w:rsidRDefault="003422D5" w:rsidP="00DC1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54DA46" w14:textId="77777777" w:rsidR="00605FD8" w:rsidRPr="00383BFA" w:rsidRDefault="00605FD8" w:rsidP="00DC15F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83BFA">
        <w:rPr>
          <w:rFonts w:ascii="Arial" w:hAnsi="Arial" w:cs="Arial"/>
          <w:b/>
          <w:sz w:val="24"/>
          <w:szCs w:val="24"/>
        </w:rPr>
        <w:t>Tiempo de Implementación</w:t>
      </w:r>
      <w:r w:rsidR="00476248" w:rsidRPr="00383BFA">
        <w:rPr>
          <w:rFonts w:ascii="Arial" w:hAnsi="Arial" w:cs="Arial"/>
          <w:b/>
          <w:sz w:val="24"/>
          <w:szCs w:val="24"/>
        </w:rPr>
        <w:t>.</w:t>
      </w:r>
      <w:r w:rsidRPr="00383BFA">
        <w:rPr>
          <w:rFonts w:ascii="Arial" w:hAnsi="Arial" w:cs="Arial"/>
          <w:b/>
          <w:sz w:val="24"/>
          <w:szCs w:val="24"/>
        </w:rPr>
        <w:t xml:space="preserve"> </w:t>
      </w:r>
    </w:p>
    <w:p w14:paraId="1B468992" w14:textId="77777777" w:rsidR="008F4449" w:rsidRPr="00383BFA" w:rsidRDefault="008F4449" w:rsidP="008F4449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C7FD8C" w14:textId="77777777" w:rsidR="004F7632" w:rsidRDefault="004F7632" w:rsidP="00DC15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C186D38" w14:textId="57DC4175" w:rsidR="00605FD8" w:rsidRPr="00383BFA" w:rsidRDefault="00605FD8" w:rsidP="00DC15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83BFA">
        <w:rPr>
          <w:rFonts w:ascii="Arial" w:hAnsi="Arial" w:cs="Arial"/>
          <w:b/>
          <w:sz w:val="24"/>
          <w:szCs w:val="24"/>
        </w:rPr>
        <w:t>V.- Cronograma</w:t>
      </w:r>
      <w:r w:rsidR="00476248" w:rsidRPr="00383BFA">
        <w:rPr>
          <w:rFonts w:ascii="Arial" w:hAnsi="Arial" w:cs="Arial"/>
          <w:b/>
          <w:sz w:val="24"/>
          <w:szCs w:val="24"/>
        </w:rPr>
        <w:t>.</w:t>
      </w:r>
    </w:p>
    <w:p w14:paraId="5022EC9D" w14:textId="77777777" w:rsidR="008F4449" w:rsidRPr="00383BFA" w:rsidRDefault="008F4449" w:rsidP="00DC1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425"/>
      </w:tblGrid>
      <w:tr w:rsidR="00B77647" w:rsidRPr="00383BFA" w14:paraId="02A07E97" w14:textId="77777777" w:rsidTr="00B77647">
        <w:trPr>
          <w:tblHeader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6DC12D5" w14:textId="77777777" w:rsidR="00F80C00" w:rsidRPr="00C01C60" w:rsidRDefault="00F80C00" w:rsidP="00E42712">
            <w:pPr>
              <w:ind w:lef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C60">
              <w:rPr>
                <w:rFonts w:ascii="Arial" w:hAnsi="Arial" w:cs="Arial"/>
                <w:b/>
                <w:sz w:val="16"/>
                <w:szCs w:val="16"/>
              </w:rPr>
              <w:t>Actividad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14:paraId="23CB6061" w14:textId="77777777" w:rsidR="00F80C00" w:rsidRPr="007F24A4" w:rsidRDefault="00F80C00" w:rsidP="00E42712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24A4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C3D2B66" w14:textId="77777777" w:rsidR="00F80C00" w:rsidRPr="007F24A4" w:rsidRDefault="00F80C00" w:rsidP="007F24A4">
            <w:pPr>
              <w:ind w:right="-86"/>
              <w:rPr>
                <w:rFonts w:ascii="Arial" w:hAnsi="Arial" w:cs="Arial"/>
                <w:b/>
                <w:sz w:val="20"/>
                <w:szCs w:val="20"/>
              </w:rPr>
            </w:pPr>
            <w:r w:rsidRPr="007F24A4">
              <w:rPr>
                <w:rFonts w:ascii="Arial" w:hAnsi="Arial" w:cs="Arial"/>
                <w:b/>
                <w:sz w:val="20"/>
                <w:szCs w:val="20"/>
              </w:rPr>
              <w:t>Ene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1B6D0CD" w14:textId="77777777" w:rsidR="00F80C00" w:rsidRPr="007F24A4" w:rsidRDefault="00F80C00" w:rsidP="007F24A4">
            <w:pPr>
              <w:ind w:left="-138" w:right="-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24A4">
              <w:rPr>
                <w:rFonts w:ascii="Arial" w:hAnsi="Arial" w:cs="Arial"/>
                <w:b/>
                <w:sz w:val="20"/>
                <w:szCs w:val="20"/>
              </w:rPr>
              <w:t>Feb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D754621" w14:textId="77777777" w:rsidR="00F80C00" w:rsidRPr="007F24A4" w:rsidRDefault="00F80C00" w:rsidP="007F24A4">
            <w:pPr>
              <w:ind w:left="-1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24A4">
              <w:rPr>
                <w:rFonts w:ascii="Arial" w:hAnsi="Arial" w:cs="Arial"/>
                <w:b/>
                <w:sz w:val="20"/>
                <w:szCs w:val="20"/>
              </w:rPr>
              <w:t>Mar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7102AEA" w14:textId="77777777" w:rsidR="00F80C00" w:rsidRPr="007F24A4" w:rsidRDefault="00F80C00" w:rsidP="00E427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24A4">
              <w:rPr>
                <w:rFonts w:ascii="Arial" w:hAnsi="Arial" w:cs="Arial"/>
                <w:b/>
                <w:sz w:val="20"/>
                <w:szCs w:val="20"/>
              </w:rPr>
              <w:t>Abr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24B456D" w14:textId="77777777" w:rsidR="00F80C00" w:rsidRPr="007F24A4" w:rsidRDefault="00F80C00" w:rsidP="007F24A4">
            <w:pPr>
              <w:ind w:left="-1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24A4">
              <w:rPr>
                <w:rFonts w:ascii="Arial" w:hAnsi="Arial" w:cs="Arial"/>
                <w:b/>
                <w:sz w:val="20"/>
                <w:szCs w:val="20"/>
              </w:rPr>
              <w:t>May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CB32816" w14:textId="77777777" w:rsidR="00F80C00" w:rsidRPr="007F24A4" w:rsidRDefault="00F80C00" w:rsidP="007F24A4">
            <w:pPr>
              <w:ind w:left="-13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24A4">
              <w:rPr>
                <w:rFonts w:ascii="Arial" w:hAnsi="Arial" w:cs="Arial"/>
                <w:b/>
                <w:sz w:val="20"/>
                <w:szCs w:val="20"/>
              </w:rPr>
              <w:t>Jun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015A464" w14:textId="77777777" w:rsidR="00F80C00" w:rsidRPr="007F24A4" w:rsidRDefault="00F80C00" w:rsidP="00F66182">
            <w:pPr>
              <w:ind w:left="-108" w:firstLine="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24A4">
              <w:rPr>
                <w:rFonts w:ascii="Arial" w:hAnsi="Arial" w:cs="Arial"/>
                <w:b/>
                <w:sz w:val="20"/>
                <w:szCs w:val="20"/>
              </w:rPr>
              <w:t>Jul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9506659" w14:textId="77777777" w:rsidR="00F80C00" w:rsidRPr="007F24A4" w:rsidRDefault="00F80C00" w:rsidP="007F24A4">
            <w:pPr>
              <w:ind w:left="-1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F24A4">
              <w:rPr>
                <w:rFonts w:ascii="Arial" w:hAnsi="Arial" w:cs="Arial"/>
                <w:b/>
                <w:sz w:val="20"/>
                <w:szCs w:val="20"/>
              </w:rPr>
              <w:t>Ago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C732BE4" w14:textId="77777777" w:rsidR="00F80C00" w:rsidRPr="007F24A4" w:rsidRDefault="00F80C00" w:rsidP="007F24A4">
            <w:pPr>
              <w:ind w:left="-1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24A4">
              <w:rPr>
                <w:rFonts w:ascii="Arial" w:hAnsi="Arial" w:cs="Arial"/>
                <w:b/>
                <w:sz w:val="20"/>
                <w:szCs w:val="20"/>
              </w:rPr>
              <w:t>Sept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9678F37" w14:textId="77777777" w:rsidR="00F80C00" w:rsidRPr="007F24A4" w:rsidRDefault="00F80C00" w:rsidP="007F24A4">
            <w:pPr>
              <w:ind w:left="-1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24A4">
              <w:rPr>
                <w:rFonts w:ascii="Arial" w:hAnsi="Arial" w:cs="Arial"/>
                <w:b/>
                <w:sz w:val="20"/>
                <w:szCs w:val="20"/>
              </w:rPr>
              <w:t>Oct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4EDEC1A" w14:textId="77777777" w:rsidR="00F80C00" w:rsidRPr="007F24A4" w:rsidRDefault="00F80C00" w:rsidP="007F24A4">
            <w:pPr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24A4">
              <w:rPr>
                <w:rFonts w:ascii="Arial" w:hAnsi="Arial" w:cs="Arial"/>
                <w:b/>
                <w:sz w:val="20"/>
                <w:szCs w:val="20"/>
              </w:rPr>
              <w:t>Nov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68760FC" w14:textId="77777777" w:rsidR="00F80C00" w:rsidRPr="007F24A4" w:rsidRDefault="00F80C00" w:rsidP="00E42712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24A4">
              <w:rPr>
                <w:rFonts w:ascii="Arial" w:hAnsi="Arial" w:cs="Arial"/>
                <w:b/>
                <w:sz w:val="20"/>
                <w:szCs w:val="20"/>
              </w:rPr>
              <w:t>Dic</w:t>
            </w:r>
          </w:p>
        </w:tc>
      </w:tr>
      <w:tr w:rsidR="00652B3F" w:rsidRPr="00383BFA" w14:paraId="6AAF5094" w14:textId="77777777" w:rsidTr="002A1538">
        <w:tc>
          <w:tcPr>
            <w:tcW w:w="851" w:type="dxa"/>
            <w:shd w:val="clear" w:color="auto" w:fill="FBE4D5" w:themeFill="accent2" w:themeFillTint="33"/>
          </w:tcPr>
          <w:p w14:paraId="62250E91" w14:textId="77777777" w:rsidR="00F80C00" w:rsidRPr="00383BFA" w:rsidRDefault="001F35AA" w:rsidP="00DC15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BF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2ACB4DB" w14:textId="02A83353" w:rsidR="00F80C00" w:rsidRPr="00383BFA" w:rsidRDefault="00B65C29" w:rsidP="00DC15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Publicar el </w:t>
            </w:r>
            <w:r w:rsidR="00AD6BA8" w:rsidRPr="00383BFA">
              <w:rPr>
                <w:rFonts w:ascii="Arial" w:hAnsi="Arial" w:cs="Arial"/>
                <w:sz w:val="24"/>
                <w:szCs w:val="24"/>
              </w:rPr>
              <w:t xml:space="preserve">Informe </w:t>
            </w:r>
            <w:r w:rsidR="00AA49E1" w:rsidRPr="00383BFA">
              <w:rPr>
                <w:rFonts w:ascii="Arial" w:hAnsi="Arial" w:cs="Arial"/>
                <w:sz w:val="24"/>
                <w:szCs w:val="24"/>
              </w:rPr>
              <w:t xml:space="preserve">anual de actividades del Plan de </w:t>
            </w:r>
            <w:r w:rsidR="00781990" w:rsidRPr="00383BFA">
              <w:rPr>
                <w:rFonts w:ascii="Arial" w:hAnsi="Arial" w:cs="Arial"/>
                <w:sz w:val="24"/>
                <w:szCs w:val="24"/>
              </w:rPr>
              <w:t>Desarrollo Archivístico 2</w:t>
            </w:r>
            <w:r w:rsidR="004E7F53">
              <w:rPr>
                <w:rFonts w:ascii="Arial" w:hAnsi="Arial" w:cs="Arial"/>
                <w:sz w:val="24"/>
                <w:szCs w:val="24"/>
              </w:rPr>
              <w:t>023</w:t>
            </w:r>
            <w:r w:rsidR="00546A56" w:rsidRPr="00383BF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6A320C7" w14:textId="77777777" w:rsidR="00F80C00" w:rsidRPr="00383BFA" w:rsidRDefault="00F80C00" w:rsidP="00DC15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2D6FB8" w14:textId="77777777" w:rsidR="00F80C00" w:rsidRPr="00383BFA" w:rsidRDefault="00F80C00" w:rsidP="00DC15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23E8BE" w14:textId="77777777" w:rsidR="00F80C00" w:rsidRPr="00383BFA" w:rsidRDefault="00F80C00" w:rsidP="00DC15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A4A774" w14:textId="77777777" w:rsidR="00F80C00" w:rsidRPr="00383BFA" w:rsidRDefault="00F80C00" w:rsidP="00DC15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4B8CC3B" w14:textId="77777777" w:rsidR="00F80C00" w:rsidRPr="00383BFA" w:rsidRDefault="00F80C00" w:rsidP="00DC15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07FCB06" w14:textId="77777777" w:rsidR="00F80C00" w:rsidRPr="00383BFA" w:rsidRDefault="00F80C00" w:rsidP="00DC15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19C977C" w14:textId="77777777" w:rsidR="00F80C00" w:rsidRPr="00383BFA" w:rsidRDefault="00F80C00" w:rsidP="00DC15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F6C3A3B" w14:textId="77777777" w:rsidR="00F80C00" w:rsidRPr="00383BFA" w:rsidRDefault="00F80C00" w:rsidP="00DC15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602962A" w14:textId="77777777" w:rsidR="00F80C00" w:rsidRPr="00383BFA" w:rsidRDefault="00F80C00" w:rsidP="00DC15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C47B3F4" w14:textId="77777777" w:rsidR="00F80C00" w:rsidRPr="00383BFA" w:rsidRDefault="00F80C00" w:rsidP="00DC15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5CF8AA9" w14:textId="77777777" w:rsidR="00F80C00" w:rsidRPr="00383BFA" w:rsidRDefault="00F80C00" w:rsidP="00DC15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60721FA" w14:textId="77777777" w:rsidR="00F80C00" w:rsidRPr="00383BFA" w:rsidRDefault="00F80C00" w:rsidP="00DC15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22" w:rsidRPr="00383BFA" w14:paraId="7D4CE424" w14:textId="77777777" w:rsidTr="002A1538">
        <w:tc>
          <w:tcPr>
            <w:tcW w:w="851" w:type="dxa"/>
            <w:shd w:val="clear" w:color="auto" w:fill="FBE4D5" w:themeFill="accent2" w:themeFillTint="33"/>
          </w:tcPr>
          <w:p w14:paraId="62B33905" w14:textId="77777777" w:rsidR="00F80522" w:rsidRPr="00383BFA" w:rsidRDefault="00F80522" w:rsidP="00F80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BF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109F6D4E" w14:textId="6DEBC520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Elaboración del </w:t>
            </w:r>
            <w:r w:rsidR="004E7F53">
              <w:rPr>
                <w:rFonts w:ascii="Arial" w:hAnsi="Arial" w:cs="Arial"/>
                <w:sz w:val="24"/>
                <w:szCs w:val="24"/>
              </w:rPr>
              <w:t>Mapa de Riesg</w:t>
            </w:r>
            <w:r w:rsidR="00185B48">
              <w:rPr>
                <w:rFonts w:ascii="Arial" w:hAnsi="Arial" w:cs="Arial"/>
                <w:sz w:val="24"/>
                <w:szCs w:val="24"/>
              </w:rPr>
              <w:t>os.</w:t>
            </w:r>
          </w:p>
        </w:tc>
        <w:tc>
          <w:tcPr>
            <w:tcW w:w="567" w:type="dxa"/>
            <w:shd w:val="clear" w:color="auto" w:fill="FFFFFF" w:themeFill="background1"/>
          </w:tcPr>
          <w:p w14:paraId="4F30FFCF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  <w:highlight w:val="lightGray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D28410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82127D1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0133C6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82C0B46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B935D4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852BEBD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6C1F64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FD2B26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26D3941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33A548B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CA41D9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22" w:rsidRPr="00383BFA" w14:paraId="527CC5EA" w14:textId="77777777" w:rsidTr="002A1538">
        <w:trPr>
          <w:trHeight w:val="404"/>
        </w:trPr>
        <w:tc>
          <w:tcPr>
            <w:tcW w:w="851" w:type="dxa"/>
            <w:shd w:val="clear" w:color="auto" w:fill="FBE4D5" w:themeFill="accent2" w:themeFillTint="33"/>
          </w:tcPr>
          <w:p w14:paraId="5FDC2AF6" w14:textId="05A214CD" w:rsidR="00F80522" w:rsidRPr="00383BFA" w:rsidRDefault="00AE30D6" w:rsidP="00F80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1C69099E" w14:textId="6D94133F" w:rsidR="00F80522" w:rsidRDefault="00AE30D6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Bajas documentales</w:t>
            </w:r>
          </w:p>
        </w:tc>
        <w:tc>
          <w:tcPr>
            <w:tcW w:w="567" w:type="dxa"/>
            <w:shd w:val="clear" w:color="auto" w:fill="FFFFFF" w:themeFill="background1"/>
          </w:tcPr>
          <w:p w14:paraId="04A2BB9B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  <w:highlight w:val="lightGray"/>
              </w:rPr>
            </w:pPr>
          </w:p>
        </w:tc>
        <w:tc>
          <w:tcPr>
            <w:tcW w:w="567" w:type="dxa"/>
            <w:shd w:val="clear" w:color="auto" w:fill="FBE4D5" w:themeFill="accent2" w:themeFillTint="33"/>
          </w:tcPr>
          <w:p w14:paraId="7203EE8A" w14:textId="77777777" w:rsidR="00F80522" w:rsidRPr="002A1538" w:rsidRDefault="00F80522" w:rsidP="00F80522">
            <w:pPr>
              <w:jc w:val="both"/>
              <w:rPr>
                <w:rFonts w:ascii="Arial" w:hAnsi="Arial" w:cs="Arial"/>
                <w:color w:val="FFCC99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E31E0B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0453D9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811B375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A1E3A4A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4AEF7DB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6777A2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654AFB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FA63D1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7D3FA3B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3370D7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22" w:rsidRPr="00383BFA" w14:paraId="48D985F7" w14:textId="77777777" w:rsidTr="002A1538">
        <w:tc>
          <w:tcPr>
            <w:tcW w:w="851" w:type="dxa"/>
            <w:shd w:val="clear" w:color="auto" w:fill="FBE4D5" w:themeFill="accent2" w:themeFillTint="33"/>
          </w:tcPr>
          <w:p w14:paraId="09D92FC5" w14:textId="26B5A21B" w:rsidR="00F80522" w:rsidRPr="00383BFA" w:rsidRDefault="00F80522" w:rsidP="00F80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6C0A4140" w14:textId="18D356ED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3BFA">
              <w:rPr>
                <w:rFonts w:ascii="Arial" w:hAnsi="Arial" w:cs="Arial"/>
                <w:sz w:val="24"/>
                <w:szCs w:val="24"/>
              </w:rPr>
              <w:t>Capacitación</w:t>
            </w:r>
            <w:r w:rsidR="00A218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3BFA">
              <w:rPr>
                <w:rFonts w:ascii="Arial" w:hAnsi="Arial" w:cs="Arial"/>
                <w:sz w:val="24"/>
                <w:szCs w:val="24"/>
              </w:rPr>
              <w:t xml:space="preserve">en materia de </w:t>
            </w:r>
            <w:r w:rsidR="00FA08D8">
              <w:rPr>
                <w:rFonts w:ascii="Arial" w:hAnsi="Arial" w:cs="Arial"/>
                <w:sz w:val="24"/>
                <w:szCs w:val="24"/>
              </w:rPr>
              <w:t>a</w:t>
            </w:r>
            <w:r w:rsidRPr="00383BFA">
              <w:rPr>
                <w:rFonts w:ascii="Arial" w:hAnsi="Arial" w:cs="Arial"/>
                <w:sz w:val="24"/>
                <w:szCs w:val="24"/>
              </w:rPr>
              <w:t>rchivos.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76264A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A7D068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F2F25B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A487F53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A496D11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DE9FDD1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BB1033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691CC4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81536F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6AA710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97CD35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A82D2A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22" w:rsidRPr="00383BFA" w14:paraId="77C828C3" w14:textId="77777777" w:rsidTr="002A1538">
        <w:tc>
          <w:tcPr>
            <w:tcW w:w="851" w:type="dxa"/>
            <w:shd w:val="clear" w:color="auto" w:fill="FBE4D5" w:themeFill="accent2" w:themeFillTint="33"/>
          </w:tcPr>
          <w:p w14:paraId="5BF5292C" w14:textId="4D8E5433" w:rsidR="00F80522" w:rsidRPr="00383BFA" w:rsidRDefault="00F80522" w:rsidP="00F80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67397205" w14:textId="19692710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3BFA">
              <w:rPr>
                <w:rFonts w:ascii="Arial" w:hAnsi="Arial" w:cs="Arial"/>
                <w:sz w:val="24"/>
                <w:szCs w:val="24"/>
              </w:rPr>
              <w:t>Recepción de Inventario</w:t>
            </w:r>
            <w:r w:rsidR="00B65C29">
              <w:rPr>
                <w:rFonts w:ascii="Arial" w:hAnsi="Arial" w:cs="Arial"/>
                <w:sz w:val="24"/>
                <w:szCs w:val="24"/>
              </w:rPr>
              <w:t>s</w:t>
            </w:r>
            <w:r w:rsidRPr="00383BFA">
              <w:rPr>
                <w:rFonts w:ascii="Arial" w:hAnsi="Arial" w:cs="Arial"/>
                <w:sz w:val="24"/>
                <w:szCs w:val="24"/>
              </w:rPr>
              <w:t xml:space="preserve"> de Transferencia Primaria.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1D81F62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B38A5D9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73F7F53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A0478FA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8A20941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B49D4D0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A75ED01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912171C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60D3530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3BE25C4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0BB93F1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7273FD2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22" w:rsidRPr="00383BFA" w14:paraId="7AFE6E46" w14:textId="77777777" w:rsidTr="002A1538">
        <w:tc>
          <w:tcPr>
            <w:tcW w:w="851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4D0C576" w14:textId="22FE8B10" w:rsidR="00F80522" w:rsidRPr="00383BFA" w:rsidRDefault="00F80522" w:rsidP="00F80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68342D2F" w14:textId="2F5E1472" w:rsidR="00F80522" w:rsidRPr="00D7250C" w:rsidRDefault="00AE30D6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3BFA">
              <w:rPr>
                <w:rFonts w:ascii="Arial" w:hAnsi="Arial" w:cs="Arial"/>
                <w:sz w:val="24"/>
                <w:szCs w:val="24"/>
              </w:rPr>
              <w:t>Expurgo en los documentos históricos, retiro de material contaminante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34B664CD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BE4D5" w:themeFill="accent2" w:themeFillTint="33"/>
          </w:tcPr>
          <w:p w14:paraId="5445E88F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BE4D5" w:themeFill="accent2" w:themeFillTint="33"/>
          </w:tcPr>
          <w:p w14:paraId="18F798DB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BE4D5" w:themeFill="accent2" w:themeFillTint="33"/>
          </w:tcPr>
          <w:p w14:paraId="6DAFDA67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BE4D5" w:themeFill="accent2" w:themeFillTint="33"/>
          </w:tcPr>
          <w:p w14:paraId="0E5AA140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BE4D5" w:themeFill="accent2" w:themeFillTint="33"/>
          </w:tcPr>
          <w:p w14:paraId="45E8C33B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E4D5" w:themeFill="accent2" w:themeFillTint="33"/>
          </w:tcPr>
          <w:p w14:paraId="0D968401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BE4D5" w:themeFill="accent2" w:themeFillTint="33"/>
          </w:tcPr>
          <w:p w14:paraId="6252DE79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02DA612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248B96A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BE4D5" w:themeFill="accent2" w:themeFillTint="33"/>
          </w:tcPr>
          <w:p w14:paraId="0AFDC5D1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BE4D5" w:themeFill="accent2" w:themeFillTint="33"/>
          </w:tcPr>
          <w:p w14:paraId="449AA024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22" w:rsidRPr="00383BFA" w14:paraId="4E0D6F0E" w14:textId="77777777" w:rsidTr="002A1538">
        <w:tc>
          <w:tcPr>
            <w:tcW w:w="851" w:type="dxa"/>
            <w:shd w:val="clear" w:color="auto" w:fill="FBE4D5" w:themeFill="accent2" w:themeFillTint="33"/>
          </w:tcPr>
          <w:p w14:paraId="0DD97489" w14:textId="493CDB1F" w:rsidR="00F80522" w:rsidRPr="00383BFA" w:rsidRDefault="00F80522" w:rsidP="00F80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6A585E0B" w14:textId="2FC87C98" w:rsidR="00F80522" w:rsidRPr="00383BFA" w:rsidRDefault="00AE30D6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3BFA">
              <w:rPr>
                <w:rFonts w:ascii="Arial" w:hAnsi="Arial" w:cs="Arial"/>
                <w:sz w:val="24"/>
                <w:szCs w:val="24"/>
              </w:rPr>
              <w:t>Actualización del Registro Nacional de Archivos</w:t>
            </w:r>
          </w:p>
        </w:tc>
        <w:tc>
          <w:tcPr>
            <w:tcW w:w="567" w:type="dxa"/>
            <w:shd w:val="clear" w:color="auto" w:fill="FFFFFF" w:themeFill="background1"/>
          </w:tcPr>
          <w:p w14:paraId="5B1CC7A0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233A16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784C96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1EF43B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8C37D3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682ED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199FE1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175627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50E0B9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3C9E8C9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F416BF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199246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3874" w:rsidRPr="00383BFA" w14:paraId="6A80F415" w14:textId="77777777" w:rsidTr="002A1538">
        <w:tc>
          <w:tcPr>
            <w:tcW w:w="851" w:type="dxa"/>
            <w:shd w:val="clear" w:color="auto" w:fill="FBE4D5" w:themeFill="accent2" w:themeFillTint="33"/>
          </w:tcPr>
          <w:p w14:paraId="746A4E04" w14:textId="5F7A2D8F" w:rsidR="00F80522" w:rsidRPr="00383BFA" w:rsidRDefault="00F80522" w:rsidP="00F80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2D3FD8CE" w14:textId="75E8F2CD" w:rsidR="00F80522" w:rsidRPr="00383BFA" w:rsidRDefault="00A2184A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Elaboración de Inventarios</w:t>
            </w:r>
            <w:r w:rsidR="008E1ABC">
              <w:rPr>
                <w:rFonts w:ascii="Arial" w:hAnsi="Arial" w:cs="Arial"/>
                <w:sz w:val="24"/>
                <w:szCs w:val="24"/>
              </w:rPr>
              <w:t xml:space="preserve">, Cuadro de Clasificación Archivística </w:t>
            </w:r>
            <w:r w:rsidR="00547E0B"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="00547E0B">
              <w:rPr>
                <w:rFonts w:ascii="Arial" w:hAnsi="Arial" w:cs="Arial"/>
                <w:sz w:val="24"/>
                <w:szCs w:val="24"/>
              </w:rPr>
              <w:lastRenderedPageBreak/>
              <w:t>Catálogo</w:t>
            </w:r>
            <w:r w:rsidR="008E1ABC">
              <w:rPr>
                <w:rFonts w:ascii="Arial" w:hAnsi="Arial" w:cs="Arial"/>
                <w:sz w:val="24"/>
                <w:szCs w:val="24"/>
              </w:rPr>
              <w:t xml:space="preserve"> de Disposición Documental</w:t>
            </w:r>
            <w:r>
              <w:rPr>
                <w:rFonts w:ascii="Arial" w:hAnsi="Arial" w:cs="Arial"/>
                <w:sz w:val="24"/>
                <w:szCs w:val="24"/>
              </w:rPr>
              <w:t xml:space="preserve"> en el SAGA</w:t>
            </w:r>
            <w:r w:rsidR="00E0245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14:paraId="056D194D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57056DF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1C16FD3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4EB97B7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D282BD1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9259D5B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312A140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CC0CB06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B39768E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85E31B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663B27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F837C9" w14:textId="77777777" w:rsidR="00F80522" w:rsidRPr="00383BFA" w:rsidRDefault="00F80522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7F45" w:rsidRPr="00383BFA" w14:paraId="1DACF74D" w14:textId="77777777" w:rsidTr="002A1538">
        <w:tc>
          <w:tcPr>
            <w:tcW w:w="851" w:type="dxa"/>
            <w:shd w:val="clear" w:color="auto" w:fill="FBE4D5" w:themeFill="accent2" w:themeFillTint="33"/>
          </w:tcPr>
          <w:p w14:paraId="7D07171F" w14:textId="0F980B69" w:rsidR="00307F45" w:rsidRDefault="00307F45" w:rsidP="00F80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140EED49" w14:textId="2829E2A2" w:rsidR="00307F45" w:rsidRPr="00FA0598" w:rsidRDefault="00307F45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Resguardo de expedientes con valor histórico en cajas AJ – 12.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B1C816" w14:textId="77777777" w:rsidR="00307F45" w:rsidRPr="00383BFA" w:rsidRDefault="00307F45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E55C12C" w14:textId="77777777" w:rsidR="00307F45" w:rsidRPr="00383BFA" w:rsidRDefault="00307F45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AE06BE9" w14:textId="77777777" w:rsidR="00307F45" w:rsidRPr="00383BFA" w:rsidRDefault="00307F45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E988297" w14:textId="77777777" w:rsidR="00307F45" w:rsidRPr="00383BFA" w:rsidRDefault="00307F45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BD6B67F" w14:textId="77777777" w:rsidR="00307F45" w:rsidRPr="00383BFA" w:rsidRDefault="00307F45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723DF3C" w14:textId="77777777" w:rsidR="00307F45" w:rsidRPr="00383BFA" w:rsidRDefault="00307F45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37C402" w14:textId="77777777" w:rsidR="00307F45" w:rsidRPr="00383BFA" w:rsidRDefault="00307F45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6757F2" w14:textId="77777777" w:rsidR="00307F45" w:rsidRPr="00383BFA" w:rsidRDefault="00307F45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A5A2DF" w14:textId="77777777" w:rsidR="00307F45" w:rsidRPr="00383BFA" w:rsidRDefault="00307F45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663B8D" w14:textId="77777777" w:rsidR="00307F45" w:rsidRPr="00383BFA" w:rsidRDefault="00307F45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07517D" w14:textId="77777777" w:rsidR="00307F45" w:rsidRPr="00383BFA" w:rsidRDefault="00307F45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CDE3E7" w14:textId="77777777" w:rsidR="00307F45" w:rsidRPr="00383BFA" w:rsidRDefault="00307F45" w:rsidP="00F80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4368C0" w14:textId="77777777" w:rsidR="007112D2" w:rsidRDefault="007112D2" w:rsidP="00DC1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57C6E9" w14:textId="77777777" w:rsidR="00547E0B" w:rsidRDefault="00547E0B" w:rsidP="00755BB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959A9B" w14:textId="77777777" w:rsidR="00547E0B" w:rsidRDefault="00547E0B" w:rsidP="003422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32B7CF4" w14:textId="77777777" w:rsidR="000F63B9" w:rsidRDefault="000F63B9" w:rsidP="003422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76EE430" w14:textId="77777777" w:rsidR="000F63B9" w:rsidRDefault="000F63B9" w:rsidP="003422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1207696" w14:textId="77777777" w:rsidR="000F63B9" w:rsidRDefault="000F63B9" w:rsidP="003422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26714D2" w14:textId="7473E1B6" w:rsidR="0004565A" w:rsidRDefault="00281D9C" w:rsidP="003422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Fecha de elaboración </w:t>
      </w:r>
      <w:r w:rsidR="008847A8">
        <w:rPr>
          <w:rFonts w:ascii="Arial" w:hAnsi="Arial" w:cs="Arial"/>
          <w:sz w:val="24"/>
          <w:szCs w:val="24"/>
        </w:rPr>
        <w:t>2</w:t>
      </w:r>
      <w:r w:rsidR="006A1AD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/01/202</w:t>
      </w:r>
      <w:r w:rsidR="00AF2886">
        <w:rPr>
          <w:rFonts w:ascii="Arial" w:hAnsi="Arial" w:cs="Arial"/>
          <w:sz w:val="24"/>
          <w:szCs w:val="24"/>
        </w:rPr>
        <w:t>4</w:t>
      </w:r>
    </w:p>
    <w:p w14:paraId="23B1EA40" w14:textId="6E74E558" w:rsidR="0004565A" w:rsidRDefault="0004565A" w:rsidP="003422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Elaboró</w:t>
      </w:r>
      <w:r w:rsidR="00FF752F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Lic. Edmundo Pérez López</w:t>
      </w:r>
    </w:p>
    <w:p w14:paraId="4655AF95" w14:textId="5132F750" w:rsidR="0004565A" w:rsidRDefault="0004565A" w:rsidP="003422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Titular de la Unidad de Archivos y Responsable de la Coordinación de Archivos.</w:t>
      </w:r>
    </w:p>
    <w:sectPr w:rsidR="0004565A" w:rsidSect="000F63B9">
      <w:headerReference w:type="default" r:id="rId8"/>
      <w:footerReference w:type="default" r:id="rId9"/>
      <w:pgSz w:w="12240" w:h="15840"/>
      <w:pgMar w:top="19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91A39" w14:textId="77777777" w:rsidR="00635658" w:rsidRDefault="00635658" w:rsidP="009A6E87">
      <w:pPr>
        <w:spacing w:after="0" w:line="240" w:lineRule="auto"/>
      </w:pPr>
      <w:r>
        <w:separator/>
      </w:r>
    </w:p>
  </w:endnote>
  <w:endnote w:type="continuationSeparator" w:id="0">
    <w:p w14:paraId="3112A780" w14:textId="77777777" w:rsidR="00635658" w:rsidRDefault="00635658" w:rsidP="009A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2947428"/>
      <w:docPartObj>
        <w:docPartGallery w:val="Page Numbers (Bottom of Page)"/>
        <w:docPartUnique/>
      </w:docPartObj>
    </w:sdtPr>
    <w:sdtContent>
      <w:p w14:paraId="7D8F1919" w14:textId="4C571D49" w:rsidR="00116BEC" w:rsidRDefault="00116BE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D510101" w14:textId="77777777" w:rsidR="00116BEC" w:rsidRDefault="00116B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E99F7" w14:textId="77777777" w:rsidR="00635658" w:rsidRDefault="00635658" w:rsidP="009A6E87">
      <w:pPr>
        <w:spacing w:after="0" w:line="240" w:lineRule="auto"/>
      </w:pPr>
      <w:r>
        <w:separator/>
      </w:r>
    </w:p>
  </w:footnote>
  <w:footnote w:type="continuationSeparator" w:id="0">
    <w:p w14:paraId="33D9BA33" w14:textId="77777777" w:rsidR="00635658" w:rsidRDefault="00635658" w:rsidP="009A6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7CF19" w14:textId="61BFEB9C" w:rsidR="00147496" w:rsidRDefault="00147496" w:rsidP="000F63B9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2870DEED" wp14:editId="69A319CD">
          <wp:simplePos x="0" y="0"/>
          <wp:positionH relativeFrom="margin">
            <wp:posOffset>-771525</wp:posOffset>
          </wp:positionH>
          <wp:positionV relativeFrom="paragraph">
            <wp:posOffset>-292100</wp:posOffset>
          </wp:positionV>
          <wp:extent cx="1118870" cy="1057275"/>
          <wp:effectExtent l="0" t="0" r="5080" b="0"/>
          <wp:wrapTight wrapText="bothSides">
            <wp:wrapPolygon edited="0">
              <wp:start x="5884" y="0"/>
              <wp:lineTo x="4413" y="0"/>
              <wp:lineTo x="2942" y="3503"/>
              <wp:lineTo x="2942" y="6227"/>
              <wp:lineTo x="5884" y="12454"/>
              <wp:lineTo x="0" y="17514"/>
              <wp:lineTo x="0" y="20627"/>
              <wp:lineTo x="4413" y="21016"/>
              <wp:lineTo x="19124" y="21016"/>
              <wp:lineTo x="21330" y="19459"/>
              <wp:lineTo x="21330" y="16735"/>
              <wp:lineTo x="14343" y="12454"/>
              <wp:lineTo x="17285" y="6227"/>
              <wp:lineTo x="17653" y="3503"/>
              <wp:lineTo x="15814" y="0"/>
              <wp:lineTo x="13975" y="0"/>
              <wp:lineTo x="5884" y="0"/>
            </wp:wrapPolygon>
          </wp:wrapTight>
          <wp:docPr id="1395075627" name="Imagen 1395075627" descr="logo_tipograf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ipograf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7496">
      <w:rPr>
        <w:rFonts w:ascii="Arial" w:hAnsi="Arial" w:cs="Arial"/>
        <w:b/>
        <w:sz w:val="24"/>
        <w:szCs w:val="24"/>
      </w:rPr>
      <w:t>COMISIÓN ESTATAL DE DERECHOS HUMANOS</w:t>
    </w:r>
    <w:r>
      <w:rPr>
        <w:rFonts w:ascii="Arial" w:hAnsi="Arial" w:cs="Arial"/>
        <w:b/>
        <w:sz w:val="24"/>
        <w:szCs w:val="24"/>
      </w:rPr>
      <w:t xml:space="preserve"> VERACRUZ</w:t>
    </w:r>
  </w:p>
  <w:p w14:paraId="3A40C9F9" w14:textId="776EED2A" w:rsidR="00147496" w:rsidRPr="00147496" w:rsidRDefault="00147496" w:rsidP="00625BE8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147496">
      <w:rPr>
        <w:rFonts w:ascii="Arial" w:hAnsi="Arial" w:cs="Arial"/>
        <w:b/>
        <w:sz w:val="24"/>
        <w:szCs w:val="24"/>
      </w:rPr>
      <w:t>PROGRAMA ANUAL DE DESARROLLO ARCHIV</w:t>
    </w:r>
    <w:r w:rsidR="008137C2">
      <w:rPr>
        <w:rFonts w:ascii="Arial" w:hAnsi="Arial" w:cs="Arial"/>
        <w:b/>
        <w:sz w:val="24"/>
        <w:szCs w:val="24"/>
      </w:rPr>
      <w:t>Í</w:t>
    </w:r>
    <w:r w:rsidRPr="00147496">
      <w:rPr>
        <w:rFonts w:ascii="Arial" w:hAnsi="Arial" w:cs="Arial"/>
        <w:b/>
        <w:sz w:val="24"/>
        <w:szCs w:val="24"/>
      </w:rPr>
      <w:t>STICO 202</w:t>
    </w:r>
    <w:r w:rsidR="009F3D60">
      <w:rPr>
        <w:rFonts w:ascii="Arial" w:hAnsi="Arial" w:cs="Arial"/>
        <w:b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760F"/>
    <w:multiLevelType w:val="hybridMultilevel"/>
    <w:tmpl w:val="BF2812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72C7"/>
    <w:multiLevelType w:val="hybridMultilevel"/>
    <w:tmpl w:val="7BEEC6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A6C7D"/>
    <w:multiLevelType w:val="hybridMultilevel"/>
    <w:tmpl w:val="759ECEE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050F0"/>
    <w:multiLevelType w:val="hybridMultilevel"/>
    <w:tmpl w:val="B1EAF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35AAD"/>
    <w:multiLevelType w:val="hybridMultilevel"/>
    <w:tmpl w:val="CC6005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A090C"/>
    <w:multiLevelType w:val="hybridMultilevel"/>
    <w:tmpl w:val="98021F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36BF1"/>
    <w:multiLevelType w:val="hybridMultilevel"/>
    <w:tmpl w:val="AD2AB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93081"/>
    <w:multiLevelType w:val="hybridMultilevel"/>
    <w:tmpl w:val="F320A0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87794"/>
    <w:multiLevelType w:val="hybridMultilevel"/>
    <w:tmpl w:val="5EEE3F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E1691"/>
    <w:multiLevelType w:val="hybridMultilevel"/>
    <w:tmpl w:val="CFBCDA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96F48"/>
    <w:multiLevelType w:val="hybridMultilevel"/>
    <w:tmpl w:val="D8A27F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42733"/>
    <w:multiLevelType w:val="hybridMultilevel"/>
    <w:tmpl w:val="2654DECA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2A5F25"/>
    <w:multiLevelType w:val="hybridMultilevel"/>
    <w:tmpl w:val="9CBC7A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32D47"/>
    <w:multiLevelType w:val="hybridMultilevel"/>
    <w:tmpl w:val="659219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E110B"/>
    <w:multiLevelType w:val="hybridMultilevel"/>
    <w:tmpl w:val="B7523F88"/>
    <w:lvl w:ilvl="0" w:tplc="2C2E5418">
      <w:start w:val="1"/>
      <w:numFmt w:val="upperLetter"/>
      <w:lvlText w:val="%1)"/>
      <w:lvlJc w:val="left"/>
      <w:pPr>
        <w:ind w:left="262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255870">
    <w:abstractNumId w:val="0"/>
  </w:num>
  <w:num w:numId="2" w16cid:durableId="1936815895">
    <w:abstractNumId w:val="2"/>
  </w:num>
  <w:num w:numId="3" w16cid:durableId="2068144368">
    <w:abstractNumId w:val="3"/>
  </w:num>
  <w:num w:numId="4" w16cid:durableId="1330253344">
    <w:abstractNumId w:val="4"/>
  </w:num>
  <w:num w:numId="5" w16cid:durableId="1648975414">
    <w:abstractNumId w:val="7"/>
  </w:num>
  <w:num w:numId="6" w16cid:durableId="1528179436">
    <w:abstractNumId w:val="11"/>
  </w:num>
  <w:num w:numId="7" w16cid:durableId="1656954646">
    <w:abstractNumId w:val="5"/>
  </w:num>
  <w:num w:numId="8" w16cid:durableId="1635527350">
    <w:abstractNumId w:val="6"/>
  </w:num>
  <w:num w:numId="9" w16cid:durableId="80376443">
    <w:abstractNumId w:val="12"/>
  </w:num>
  <w:num w:numId="10" w16cid:durableId="1333491789">
    <w:abstractNumId w:val="8"/>
  </w:num>
  <w:num w:numId="11" w16cid:durableId="1271860521">
    <w:abstractNumId w:val="9"/>
  </w:num>
  <w:num w:numId="12" w16cid:durableId="1975257041">
    <w:abstractNumId w:val="10"/>
  </w:num>
  <w:num w:numId="13" w16cid:durableId="1501117855">
    <w:abstractNumId w:val="13"/>
  </w:num>
  <w:num w:numId="14" w16cid:durableId="1049650392">
    <w:abstractNumId w:val="14"/>
  </w:num>
  <w:num w:numId="15" w16cid:durableId="1108701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BA"/>
    <w:rsid w:val="00003CD8"/>
    <w:rsid w:val="00013D97"/>
    <w:rsid w:val="00013EB9"/>
    <w:rsid w:val="00016210"/>
    <w:rsid w:val="00020681"/>
    <w:rsid w:val="00020727"/>
    <w:rsid w:val="000249E7"/>
    <w:rsid w:val="000254AD"/>
    <w:rsid w:val="00033930"/>
    <w:rsid w:val="000342A7"/>
    <w:rsid w:val="00036045"/>
    <w:rsid w:val="00037736"/>
    <w:rsid w:val="000424C3"/>
    <w:rsid w:val="0004488F"/>
    <w:rsid w:val="0004565A"/>
    <w:rsid w:val="00050D7A"/>
    <w:rsid w:val="0005791B"/>
    <w:rsid w:val="00057A71"/>
    <w:rsid w:val="00057A88"/>
    <w:rsid w:val="000628A2"/>
    <w:rsid w:val="000651DE"/>
    <w:rsid w:val="0007160C"/>
    <w:rsid w:val="00075001"/>
    <w:rsid w:val="000828FB"/>
    <w:rsid w:val="000845F3"/>
    <w:rsid w:val="000855F7"/>
    <w:rsid w:val="00086646"/>
    <w:rsid w:val="00092ED8"/>
    <w:rsid w:val="0009713C"/>
    <w:rsid w:val="000A1558"/>
    <w:rsid w:val="000A5B62"/>
    <w:rsid w:val="000A5D1A"/>
    <w:rsid w:val="000A5DBB"/>
    <w:rsid w:val="000A63F1"/>
    <w:rsid w:val="000B1F5B"/>
    <w:rsid w:val="000B7BD9"/>
    <w:rsid w:val="000C0830"/>
    <w:rsid w:val="000C1659"/>
    <w:rsid w:val="000C4DB9"/>
    <w:rsid w:val="000C4EF3"/>
    <w:rsid w:val="000C5AA1"/>
    <w:rsid w:val="000C6811"/>
    <w:rsid w:val="000C6913"/>
    <w:rsid w:val="000C743C"/>
    <w:rsid w:val="000D11A8"/>
    <w:rsid w:val="000D46EE"/>
    <w:rsid w:val="000D67CA"/>
    <w:rsid w:val="000E211A"/>
    <w:rsid w:val="000E3FDB"/>
    <w:rsid w:val="000E5298"/>
    <w:rsid w:val="000E5BC5"/>
    <w:rsid w:val="000F2060"/>
    <w:rsid w:val="000F26E0"/>
    <w:rsid w:val="000F270D"/>
    <w:rsid w:val="000F4E81"/>
    <w:rsid w:val="000F63B9"/>
    <w:rsid w:val="000F79CA"/>
    <w:rsid w:val="00102FCB"/>
    <w:rsid w:val="001040F0"/>
    <w:rsid w:val="00105E79"/>
    <w:rsid w:val="001147B3"/>
    <w:rsid w:val="00114E1E"/>
    <w:rsid w:val="00116BEC"/>
    <w:rsid w:val="001173F1"/>
    <w:rsid w:val="00117F2C"/>
    <w:rsid w:val="001200BF"/>
    <w:rsid w:val="001222FE"/>
    <w:rsid w:val="0013160C"/>
    <w:rsid w:val="001322A3"/>
    <w:rsid w:val="001327A0"/>
    <w:rsid w:val="001356D9"/>
    <w:rsid w:val="001367DE"/>
    <w:rsid w:val="00145B85"/>
    <w:rsid w:val="00147496"/>
    <w:rsid w:val="00147AE9"/>
    <w:rsid w:val="00151DAC"/>
    <w:rsid w:val="00152FCF"/>
    <w:rsid w:val="00157F9D"/>
    <w:rsid w:val="001670A0"/>
    <w:rsid w:val="00167197"/>
    <w:rsid w:val="00167D06"/>
    <w:rsid w:val="00170826"/>
    <w:rsid w:val="00173B2F"/>
    <w:rsid w:val="00174F8A"/>
    <w:rsid w:val="00180859"/>
    <w:rsid w:val="00181019"/>
    <w:rsid w:val="00185292"/>
    <w:rsid w:val="00185B48"/>
    <w:rsid w:val="00187AF1"/>
    <w:rsid w:val="001A1A6E"/>
    <w:rsid w:val="001B2A9E"/>
    <w:rsid w:val="001B6097"/>
    <w:rsid w:val="001B6C60"/>
    <w:rsid w:val="001C3874"/>
    <w:rsid w:val="001C55DE"/>
    <w:rsid w:val="001C647C"/>
    <w:rsid w:val="001D28A0"/>
    <w:rsid w:val="001D3E91"/>
    <w:rsid w:val="001D5629"/>
    <w:rsid w:val="001D5F5D"/>
    <w:rsid w:val="001E676B"/>
    <w:rsid w:val="001F0848"/>
    <w:rsid w:val="001F0B3D"/>
    <w:rsid w:val="001F16AB"/>
    <w:rsid w:val="001F35AA"/>
    <w:rsid w:val="001F4EA9"/>
    <w:rsid w:val="001F58C4"/>
    <w:rsid w:val="00200AE3"/>
    <w:rsid w:val="002104A3"/>
    <w:rsid w:val="00211743"/>
    <w:rsid w:val="002219B5"/>
    <w:rsid w:val="002221AB"/>
    <w:rsid w:val="002253AC"/>
    <w:rsid w:val="0022649B"/>
    <w:rsid w:val="0023134D"/>
    <w:rsid w:val="002347D1"/>
    <w:rsid w:val="00235090"/>
    <w:rsid w:val="0023637E"/>
    <w:rsid w:val="00236EB5"/>
    <w:rsid w:val="0023710D"/>
    <w:rsid w:val="00237594"/>
    <w:rsid w:val="00240CF8"/>
    <w:rsid w:val="002422B9"/>
    <w:rsid w:val="00242D27"/>
    <w:rsid w:val="002433BA"/>
    <w:rsid w:val="00244B45"/>
    <w:rsid w:val="002503ED"/>
    <w:rsid w:val="002520DF"/>
    <w:rsid w:val="00257D71"/>
    <w:rsid w:val="002619E0"/>
    <w:rsid w:val="00266057"/>
    <w:rsid w:val="00270EA1"/>
    <w:rsid w:val="00271230"/>
    <w:rsid w:val="00272530"/>
    <w:rsid w:val="0027297E"/>
    <w:rsid w:val="00281D9C"/>
    <w:rsid w:val="00283738"/>
    <w:rsid w:val="00285DCC"/>
    <w:rsid w:val="00287BFD"/>
    <w:rsid w:val="00290D5A"/>
    <w:rsid w:val="0029126B"/>
    <w:rsid w:val="0029429F"/>
    <w:rsid w:val="002A1538"/>
    <w:rsid w:val="002A2491"/>
    <w:rsid w:val="002A284B"/>
    <w:rsid w:val="002A4CBD"/>
    <w:rsid w:val="002A7445"/>
    <w:rsid w:val="002B21B6"/>
    <w:rsid w:val="002B4B35"/>
    <w:rsid w:val="002C34DC"/>
    <w:rsid w:val="002C5377"/>
    <w:rsid w:val="002C62FE"/>
    <w:rsid w:val="002C7A63"/>
    <w:rsid w:val="002D1388"/>
    <w:rsid w:val="002D5C83"/>
    <w:rsid w:val="002D7277"/>
    <w:rsid w:val="002E1A94"/>
    <w:rsid w:val="002E2655"/>
    <w:rsid w:val="002E4DED"/>
    <w:rsid w:val="002F0F12"/>
    <w:rsid w:val="002F2353"/>
    <w:rsid w:val="002F2897"/>
    <w:rsid w:val="003008A2"/>
    <w:rsid w:val="003037F1"/>
    <w:rsid w:val="0030725A"/>
    <w:rsid w:val="00307F45"/>
    <w:rsid w:val="003168EA"/>
    <w:rsid w:val="00316F2F"/>
    <w:rsid w:val="00317488"/>
    <w:rsid w:val="003224AA"/>
    <w:rsid w:val="003314BB"/>
    <w:rsid w:val="0033241D"/>
    <w:rsid w:val="00337088"/>
    <w:rsid w:val="00341159"/>
    <w:rsid w:val="003422D5"/>
    <w:rsid w:val="00343108"/>
    <w:rsid w:val="00345C6C"/>
    <w:rsid w:val="00351BCE"/>
    <w:rsid w:val="003555CA"/>
    <w:rsid w:val="003621A0"/>
    <w:rsid w:val="00362B68"/>
    <w:rsid w:val="00363CEA"/>
    <w:rsid w:val="0036560E"/>
    <w:rsid w:val="00367369"/>
    <w:rsid w:val="00371155"/>
    <w:rsid w:val="003742F3"/>
    <w:rsid w:val="00376D3E"/>
    <w:rsid w:val="0038166F"/>
    <w:rsid w:val="00383BFA"/>
    <w:rsid w:val="0038577A"/>
    <w:rsid w:val="00385DAE"/>
    <w:rsid w:val="00397D4C"/>
    <w:rsid w:val="003A00F6"/>
    <w:rsid w:val="003A07F8"/>
    <w:rsid w:val="003A67D3"/>
    <w:rsid w:val="003B7503"/>
    <w:rsid w:val="003C0373"/>
    <w:rsid w:val="003C424F"/>
    <w:rsid w:val="003C4BCC"/>
    <w:rsid w:val="003C6BFC"/>
    <w:rsid w:val="003D07FF"/>
    <w:rsid w:val="003D0BF4"/>
    <w:rsid w:val="003D401E"/>
    <w:rsid w:val="003D468D"/>
    <w:rsid w:val="003D47BF"/>
    <w:rsid w:val="003D4BBF"/>
    <w:rsid w:val="003D51E4"/>
    <w:rsid w:val="003D6B3C"/>
    <w:rsid w:val="003D74D4"/>
    <w:rsid w:val="003E6B2D"/>
    <w:rsid w:val="003E75CA"/>
    <w:rsid w:val="003F05C8"/>
    <w:rsid w:val="003F0BCA"/>
    <w:rsid w:val="003F1D58"/>
    <w:rsid w:val="003F446B"/>
    <w:rsid w:val="003F7BC5"/>
    <w:rsid w:val="00403E8D"/>
    <w:rsid w:val="00405105"/>
    <w:rsid w:val="004129B8"/>
    <w:rsid w:val="004142A8"/>
    <w:rsid w:val="00415270"/>
    <w:rsid w:val="004154D7"/>
    <w:rsid w:val="00415E7E"/>
    <w:rsid w:val="00424E1E"/>
    <w:rsid w:val="00426861"/>
    <w:rsid w:val="0043371D"/>
    <w:rsid w:val="00436EAE"/>
    <w:rsid w:val="00441A8B"/>
    <w:rsid w:val="00442655"/>
    <w:rsid w:val="00444A67"/>
    <w:rsid w:val="004463E5"/>
    <w:rsid w:val="004530CC"/>
    <w:rsid w:val="00453647"/>
    <w:rsid w:val="004555B9"/>
    <w:rsid w:val="00460866"/>
    <w:rsid w:val="00462382"/>
    <w:rsid w:val="00462CEF"/>
    <w:rsid w:val="0046318B"/>
    <w:rsid w:val="00465383"/>
    <w:rsid w:val="00472982"/>
    <w:rsid w:val="00476248"/>
    <w:rsid w:val="00476D0A"/>
    <w:rsid w:val="00496B40"/>
    <w:rsid w:val="00496E82"/>
    <w:rsid w:val="00497D1A"/>
    <w:rsid w:val="004A2BCF"/>
    <w:rsid w:val="004A37CB"/>
    <w:rsid w:val="004A4C95"/>
    <w:rsid w:val="004A59FD"/>
    <w:rsid w:val="004A7B6A"/>
    <w:rsid w:val="004B325A"/>
    <w:rsid w:val="004B4690"/>
    <w:rsid w:val="004C28BA"/>
    <w:rsid w:val="004C57DC"/>
    <w:rsid w:val="004E0E65"/>
    <w:rsid w:val="004E7580"/>
    <w:rsid w:val="004E7F53"/>
    <w:rsid w:val="004F4811"/>
    <w:rsid w:val="004F7632"/>
    <w:rsid w:val="005004BC"/>
    <w:rsid w:val="005020BE"/>
    <w:rsid w:val="00502A6F"/>
    <w:rsid w:val="00511EF9"/>
    <w:rsid w:val="005161AF"/>
    <w:rsid w:val="005179CF"/>
    <w:rsid w:val="00524C44"/>
    <w:rsid w:val="00527039"/>
    <w:rsid w:val="00534B00"/>
    <w:rsid w:val="00536853"/>
    <w:rsid w:val="00537FE8"/>
    <w:rsid w:val="0054096A"/>
    <w:rsid w:val="005426B7"/>
    <w:rsid w:val="005432E1"/>
    <w:rsid w:val="00546A56"/>
    <w:rsid w:val="00547E0B"/>
    <w:rsid w:val="00552082"/>
    <w:rsid w:val="00554EF1"/>
    <w:rsid w:val="00560343"/>
    <w:rsid w:val="00565616"/>
    <w:rsid w:val="00574D01"/>
    <w:rsid w:val="00575349"/>
    <w:rsid w:val="0058287E"/>
    <w:rsid w:val="00584924"/>
    <w:rsid w:val="00594F37"/>
    <w:rsid w:val="00596BBC"/>
    <w:rsid w:val="00597912"/>
    <w:rsid w:val="005B088B"/>
    <w:rsid w:val="005B0985"/>
    <w:rsid w:val="005B3F01"/>
    <w:rsid w:val="005B4EC2"/>
    <w:rsid w:val="005B52EC"/>
    <w:rsid w:val="005B6E6E"/>
    <w:rsid w:val="005C4336"/>
    <w:rsid w:val="005C4927"/>
    <w:rsid w:val="005D1E7A"/>
    <w:rsid w:val="005D2492"/>
    <w:rsid w:val="005D67B9"/>
    <w:rsid w:val="005E1F96"/>
    <w:rsid w:val="005E5E44"/>
    <w:rsid w:val="005E676D"/>
    <w:rsid w:val="005F1A1A"/>
    <w:rsid w:val="005F334D"/>
    <w:rsid w:val="005F5A9C"/>
    <w:rsid w:val="00604EC4"/>
    <w:rsid w:val="00605FD8"/>
    <w:rsid w:val="00611936"/>
    <w:rsid w:val="00612909"/>
    <w:rsid w:val="00613C1C"/>
    <w:rsid w:val="006144A3"/>
    <w:rsid w:val="00622A4E"/>
    <w:rsid w:val="00623CCF"/>
    <w:rsid w:val="00625BE8"/>
    <w:rsid w:val="00635658"/>
    <w:rsid w:val="00640132"/>
    <w:rsid w:val="006411E9"/>
    <w:rsid w:val="00646375"/>
    <w:rsid w:val="0064699D"/>
    <w:rsid w:val="006521AD"/>
    <w:rsid w:val="00652B3F"/>
    <w:rsid w:val="00656CD3"/>
    <w:rsid w:val="006575AF"/>
    <w:rsid w:val="006639CF"/>
    <w:rsid w:val="0066767F"/>
    <w:rsid w:val="00667A98"/>
    <w:rsid w:val="006712F3"/>
    <w:rsid w:val="006718E7"/>
    <w:rsid w:val="00672E77"/>
    <w:rsid w:val="00674EC5"/>
    <w:rsid w:val="00677B52"/>
    <w:rsid w:val="0068005A"/>
    <w:rsid w:val="00680920"/>
    <w:rsid w:val="00681032"/>
    <w:rsid w:val="006826F6"/>
    <w:rsid w:val="00685576"/>
    <w:rsid w:val="006862C5"/>
    <w:rsid w:val="00690276"/>
    <w:rsid w:val="006A15E4"/>
    <w:rsid w:val="006A1ADA"/>
    <w:rsid w:val="006A27F3"/>
    <w:rsid w:val="006A3FA0"/>
    <w:rsid w:val="006A6655"/>
    <w:rsid w:val="006B1889"/>
    <w:rsid w:val="006B2BD2"/>
    <w:rsid w:val="006C0399"/>
    <w:rsid w:val="006C3566"/>
    <w:rsid w:val="006C45E1"/>
    <w:rsid w:val="006D0A3A"/>
    <w:rsid w:val="006D2605"/>
    <w:rsid w:val="006D49D8"/>
    <w:rsid w:val="006E15FA"/>
    <w:rsid w:val="006E4DC2"/>
    <w:rsid w:val="006F048B"/>
    <w:rsid w:val="006F19DF"/>
    <w:rsid w:val="006F1B46"/>
    <w:rsid w:val="00701C8D"/>
    <w:rsid w:val="007076D9"/>
    <w:rsid w:val="007112D2"/>
    <w:rsid w:val="00711763"/>
    <w:rsid w:val="00712E26"/>
    <w:rsid w:val="00714070"/>
    <w:rsid w:val="00716D11"/>
    <w:rsid w:val="00720C81"/>
    <w:rsid w:val="007247C4"/>
    <w:rsid w:val="00726FD7"/>
    <w:rsid w:val="00727580"/>
    <w:rsid w:val="00727D98"/>
    <w:rsid w:val="007314F5"/>
    <w:rsid w:val="007332D9"/>
    <w:rsid w:val="00734A05"/>
    <w:rsid w:val="007359F0"/>
    <w:rsid w:val="00737944"/>
    <w:rsid w:val="007400F3"/>
    <w:rsid w:val="00740CCC"/>
    <w:rsid w:val="00743BBD"/>
    <w:rsid w:val="00745FD5"/>
    <w:rsid w:val="007473D3"/>
    <w:rsid w:val="007538E2"/>
    <w:rsid w:val="00755BB0"/>
    <w:rsid w:val="00755FA0"/>
    <w:rsid w:val="00770B67"/>
    <w:rsid w:val="00770E94"/>
    <w:rsid w:val="0077118E"/>
    <w:rsid w:val="00771292"/>
    <w:rsid w:val="0077218F"/>
    <w:rsid w:val="007751A5"/>
    <w:rsid w:val="007765EE"/>
    <w:rsid w:val="00776E33"/>
    <w:rsid w:val="00781990"/>
    <w:rsid w:val="007838A6"/>
    <w:rsid w:val="00790839"/>
    <w:rsid w:val="00790DE8"/>
    <w:rsid w:val="00793CB1"/>
    <w:rsid w:val="007A3E83"/>
    <w:rsid w:val="007A5EEB"/>
    <w:rsid w:val="007B4A2C"/>
    <w:rsid w:val="007B67C8"/>
    <w:rsid w:val="007B77AF"/>
    <w:rsid w:val="007C139F"/>
    <w:rsid w:val="007C57CD"/>
    <w:rsid w:val="007C6F0E"/>
    <w:rsid w:val="007C7FC2"/>
    <w:rsid w:val="007D1D20"/>
    <w:rsid w:val="007D310D"/>
    <w:rsid w:val="007D3CBD"/>
    <w:rsid w:val="007D3DAC"/>
    <w:rsid w:val="007E2ED9"/>
    <w:rsid w:val="007E3A24"/>
    <w:rsid w:val="007E4BEB"/>
    <w:rsid w:val="007E4E64"/>
    <w:rsid w:val="007E763F"/>
    <w:rsid w:val="007F24A4"/>
    <w:rsid w:val="007F5B4E"/>
    <w:rsid w:val="007F691A"/>
    <w:rsid w:val="0080232B"/>
    <w:rsid w:val="008033E4"/>
    <w:rsid w:val="00807BDA"/>
    <w:rsid w:val="00812EEB"/>
    <w:rsid w:val="008137C2"/>
    <w:rsid w:val="008167D3"/>
    <w:rsid w:val="00816C0F"/>
    <w:rsid w:val="00821F04"/>
    <w:rsid w:val="00822DEC"/>
    <w:rsid w:val="0082502C"/>
    <w:rsid w:val="008254B8"/>
    <w:rsid w:val="00830348"/>
    <w:rsid w:val="00831C65"/>
    <w:rsid w:val="00834D23"/>
    <w:rsid w:val="008351A3"/>
    <w:rsid w:val="00841F2A"/>
    <w:rsid w:val="008445FA"/>
    <w:rsid w:val="00847A7E"/>
    <w:rsid w:val="008504E9"/>
    <w:rsid w:val="008512AD"/>
    <w:rsid w:val="00853FD6"/>
    <w:rsid w:val="008542E6"/>
    <w:rsid w:val="00854988"/>
    <w:rsid w:val="00856317"/>
    <w:rsid w:val="008563F2"/>
    <w:rsid w:val="00856B4D"/>
    <w:rsid w:val="00857871"/>
    <w:rsid w:val="00870FC8"/>
    <w:rsid w:val="00877670"/>
    <w:rsid w:val="00880535"/>
    <w:rsid w:val="00880F1E"/>
    <w:rsid w:val="008847A8"/>
    <w:rsid w:val="00884A38"/>
    <w:rsid w:val="00884BC0"/>
    <w:rsid w:val="008865B3"/>
    <w:rsid w:val="008868FA"/>
    <w:rsid w:val="0089175A"/>
    <w:rsid w:val="00892977"/>
    <w:rsid w:val="00894F18"/>
    <w:rsid w:val="00895A57"/>
    <w:rsid w:val="008A0D19"/>
    <w:rsid w:val="008A15CE"/>
    <w:rsid w:val="008A562F"/>
    <w:rsid w:val="008A60FD"/>
    <w:rsid w:val="008A7033"/>
    <w:rsid w:val="008A7BEE"/>
    <w:rsid w:val="008B369E"/>
    <w:rsid w:val="008C0CA9"/>
    <w:rsid w:val="008C4891"/>
    <w:rsid w:val="008C73EC"/>
    <w:rsid w:val="008E1ABC"/>
    <w:rsid w:val="008F248A"/>
    <w:rsid w:val="008F279A"/>
    <w:rsid w:val="008F3A24"/>
    <w:rsid w:val="008F4449"/>
    <w:rsid w:val="008F4873"/>
    <w:rsid w:val="008F53BF"/>
    <w:rsid w:val="008F765D"/>
    <w:rsid w:val="008F7B3F"/>
    <w:rsid w:val="009027AD"/>
    <w:rsid w:val="009062CB"/>
    <w:rsid w:val="00910C3D"/>
    <w:rsid w:val="0091100E"/>
    <w:rsid w:val="00920D7E"/>
    <w:rsid w:val="00926C7F"/>
    <w:rsid w:val="0092773A"/>
    <w:rsid w:val="00934FE0"/>
    <w:rsid w:val="0093599C"/>
    <w:rsid w:val="00951B69"/>
    <w:rsid w:val="00952D68"/>
    <w:rsid w:val="00962D72"/>
    <w:rsid w:val="00966718"/>
    <w:rsid w:val="00967C89"/>
    <w:rsid w:val="00973204"/>
    <w:rsid w:val="00982D02"/>
    <w:rsid w:val="0099101A"/>
    <w:rsid w:val="0099410A"/>
    <w:rsid w:val="009955D2"/>
    <w:rsid w:val="009A2362"/>
    <w:rsid w:val="009A6E87"/>
    <w:rsid w:val="009A713F"/>
    <w:rsid w:val="009B179F"/>
    <w:rsid w:val="009B3681"/>
    <w:rsid w:val="009B6F68"/>
    <w:rsid w:val="009C04B2"/>
    <w:rsid w:val="009D0ECB"/>
    <w:rsid w:val="009D23F8"/>
    <w:rsid w:val="009E00BC"/>
    <w:rsid w:val="009E01C3"/>
    <w:rsid w:val="009E36A3"/>
    <w:rsid w:val="009E3746"/>
    <w:rsid w:val="009E42A9"/>
    <w:rsid w:val="009E75F8"/>
    <w:rsid w:val="009F047C"/>
    <w:rsid w:val="009F3D60"/>
    <w:rsid w:val="009F4586"/>
    <w:rsid w:val="00A01552"/>
    <w:rsid w:val="00A01AA2"/>
    <w:rsid w:val="00A06384"/>
    <w:rsid w:val="00A078D6"/>
    <w:rsid w:val="00A07D16"/>
    <w:rsid w:val="00A137A8"/>
    <w:rsid w:val="00A14C97"/>
    <w:rsid w:val="00A17521"/>
    <w:rsid w:val="00A21048"/>
    <w:rsid w:val="00A214B1"/>
    <w:rsid w:val="00A21831"/>
    <w:rsid w:val="00A2184A"/>
    <w:rsid w:val="00A235D7"/>
    <w:rsid w:val="00A33ECF"/>
    <w:rsid w:val="00A404AB"/>
    <w:rsid w:val="00A46182"/>
    <w:rsid w:val="00A47A2A"/>
    <w:rsid w:val="00A578F7"/>
    <w:rsid w:val="00A5793B"/>
    <w:rsid w:val="00A61BB4"/>
    <w:rsid w:val="00A62B7D"/>
    <w:rsid w:val="00A71267"/>
    <w:rsid w:val="00A71588"/>
    <w:rsid w:val="00A83286"/>
    <w:rsid w:val="00A84CB5"/>
    <w:rsid w:val="00A86C30"/>
    <w:rsid w:val="00A87928"/>
    <w:rsid w:val="00A909EA"/>
    <w:rsid w:val="00A90AAF"/>
    <w:rsid w:val="00A9119F"/>
    <w:rsid w:val="00A91A67"/>
    <w:rsid w:val="00A926CE"/>
    <w:rsid w:val="00A967CD"/>
    <w:rsid w:val="00AA0DF2"/>
    <w:rsid w:val="00AA0E16"/>
    <w:rsid w:val="00AA49E1"/>
    <w:rsid w:val="00AA7C92"/>
    <w:rsid w:val="00AA7D51"/>
    <w:rsid w:val="00AB09A8"/>
    <w:rsid w:val="00AB38B3"/>
    <w:rsid w:val="00AB796F"/>
    <w:rsid w:val="00AC4C1B"/>
    <w:rsid w:val="00AD67D7"/>
    <w:rsid w:val="00AD6BA8"/>
    <w:rsid w:val="00AE0078"/>
    <w:rsid w:val="00AE0248"/>
    <w:rsid w:val="00AE1BA3"/>
    <w:rsid w:val="00AE30D6"/>
    <w:rsid w:val="00AE3E85"/>
    <w:rsid w:val="00AE5F2D"/>
    <w:rsid w:val="00AE6F24"/>
    <w:rsid w:val="00AF2886"/>
    <w:rsid w:val="00AF4B6A"/>
    <w:rsid w:val="00AF532E"/>
    <w:rsid w:val="00AF5EB3"/>
    <w:rsid w:val="00AF6A73"/>
    <w:rsid w:val="00B07F44"/>
    <w:rsid w:val="00B12350"/>
    <w:rsid w:val="00B145B8"/>
    <w:rsid w:val="00B14E9A"/>
    <w:rsid w:val="00B176A1"/>
    <w:rsid w:val="00B21AD9"/>
    <w:rsid w:val="00B23EE5"/>
    <w:rsid w:val="00B26697"/>
    <w:rsid w:val="00B33E6C"/>
    <w:rsid w:val="00B403D4"/>
    <w:rsid w:val="00B4431E"/>
    <w:rsid w:val="00B607F6"/>
    <w:rsid w:val="00B63681"/>
    <w:rsid w:val="00B64453"/>
    <w:rsid w:val="00B6594F"/>
    <w:rsid w:val="00B65C29"/>
    <w:rsid w:val="00B65E4F"/>
    <w:rsid w:val="00B66B52"/>
    <w:rsid w:val="00B6700B"/>
    <w:rsid w:val="00B67577"/>
    <w:rsid w:val="00B67CC8"/>
    <w:rsid w:val="00B73F6A"/>
    <w:rsid w:val="00B77647"/>
    <w:rsid w:val="00B81831"/>
    <w:rsid w:val="00B829E0"/>
    <w:rsid w:val="00B83A05"/>
    <w:rsid w:val="00B85476"/>
    <w:rsid w:val="00B87338"/>
    <w:rsid w:val="00B91078"/>
    <w:rsid w:val="00B921CC"/>
    <w:rsid w:val="00B93516"/>
    <w:rsid w:val="00B97C1B"/>
    <w:rsid w:val="00BA5771"/>
    <w:rsid w:val="00BA57C4"/>
    <w:rsid w:val="00BB0E6F"/>
    <w:rsid w:val="00BB7ADE"/>
    <w:rsid w:val="00BC05B1"/>
    <w:rsid w:val="00BC12E3"/>
    <w:rsid w:val="00BC1D4E"/>
    <w:rsid w:val="00BC24B2"/>
    <w:rsid w:val="00BC5351"/>
    <w:rsid w:val="00BC6338"/>
    <w:rsid w:val="00BD2273"/>
    <w:rsid w:val="00BD35FD"/>
    <w:rsid w:val="00BD571F"/>
    <w:rsid w:val="00BE48D5"/>
    <w:rsid w:val="00BE6139"/>
    <w:rsid w:val="00BE66DC"/>
    <w:rsid w:val="00BF030D"/>
    <w:rsid w:val="00C01C60"/>
    <w:rsid w:val="00C04FED"/>
    <w:rsid w:val="00C054AC"/>
    <w:rsid w:val="00C12DFD"/>
    <w:rsid w:val="00C223EA"/>
    <w:rsid w:val="00C302CD"/>
    <w:rsid w:val="00C31F60"/>
    <w:rsid w:val="00C367E8"/>
    <w:rsid w:val="00C4245F"/>
    <w:rsid w:val="00C44679"/>
    <w:rsid w:val="00C50026"/>
    <w:rsid w:val="00C514B2"/>
    <w:rsid w:val="00C52018"/>
    <w:rsid w:val="00C53319"/>
    <w:rsid w:val="00C5636A"/>
    <w:rsid w:val="00C5790A"/>
    <w:rsid w:val="00C60BB7"/>
    <w:rsid w:val="00C6362B"/>
    <w:rsid w:val="00C6409C"/>
    <w:rsid w:val="00C651D2"/>
    <w:rsid w:val="00C66F33"/>
    <w:rsid w:val="00C674B5"/>
    <w:rsid w:val="00C70389"/>
    <w:rsid w:val="00C7089E"/>
    <w:rsid w:val="00C77305"/>
    <w:rsid w:val="00C840E6"/>
    <w:rsid w:val="00C862F5"/>
    <w:rsid w:val="00C876BB"/>
    <w:rsid w:val="00C90476"/>
    <w:rsid w:val="00C91095"/>
    <w:rsid w:val="00C918A9"/>
    <w:rsid w:val="00C946E8"/>
    <w:rsid w:val="00CA0FBA"/>
    <w:rsid w:val="00CA10AB"/>
    <w:rsid w:val="00CA1825"/>
    <w:rsid w:val="00CA5FE7"/>
    <w:rsid w:val="00CA6F88"/>
    <w:rsid w:val="00CB03E1"/>
    <w:rsid w:val="00CB10ED"/>
    <w:rsid w:val="00CB2222"/>
    <w:rsid w:val="00CB3635"/>
    <w:rsid w:val="00CC3626"/>
    <w:rsid w:val="00CC5D03"/>
    <w:rsid w:val="00CC7A09"/>
    <w:rsid w:val="00CE19F7"/>
    <w:rsid w:val="00CE3D66"/>
    <w:rsid w:val="00CE4B95"/>
    <w:rsid w:val="00CE53E7"/>
    <w:rsid w:val="00CE636F"/>
    <w:rsid w:val="00CF6B93"/>
    <w:rsid w:val="00D06181"/>
    <w:rsid w:val="00D10EE5"/>
    <w:rsid w:val="00D14831"/>
    <w:rsid w:val="00D1591C"/>
    <w:rsid w:val="00D22C86"/>
    <w:rsid w:val="00D25D0E"/>
    <w:rsid w:val="00D2718C"/>
    <w:rsid w:val="00D30FE4"/>
    <w:rsid w:val="00D35E0F"/>
    <w:rsid w:val="00D36A32"/>
    <w:rsid w:val="00D37766"/>
    <w:rsid w:val="00D404F3"/>
    <w:rsid w:val="00D45011"/>
    <w:rsid w:val="00D52257"/>
    <w:rsid w:val="00D53226"/>
    <w:rsid w:val="00D544D7"/>
    <w:rsid w:val="00D659E3"/>
    <w:rsid w:val="00D66F7F"/>
    <w:rsid w:val="00D70AED"/>
    <w:rsid w:val="00D7250C"/>
    <w:rsid w:val="00D72FFA"/>
    <w:rsid w:val="00D74C44"/>
    <w:rsid w:val="00D8103D"/>
    <w:rsid w:val="00D83E6E"/>
    <w:rsid w:val="00D847C0"/>
    <w:rsid w:val="00D8799D"/>
    <w:rsid w:val="00D90876"/>
    <w:rsid w:val="00D92D50"/>
    <w:rsid w:val="00D93FA2"/>
    <w:rsid w:val="00D97474"/>
    <w:rsid w:val="00DA091E"/>
    <w:rsid w:val="00DA3FB5"/>
    <w:rsid w:val="00DA707C"/>
    <w:rsid w:val="00DB1B0A"/>
    <w:rsid w:val="00DB4159"/>
    <w:rsid w:val="00DB4972"/>
    <w:rsid w:val="00DC09DA"/>
    <w:rsid w:val="00DC15FB"/>
    <w:rsid w:val="00DC4653"/>
    <w:rsid w:val="00DC676C"/>
    <w:rsid w:val="00DD09A8"/>
    <w:rsid w:val="00DD2AD6"/>
    <w:rsid w:val="00DD48B3"/>
    <w:rsid w:val="00DD5D4F"/>
    <w:rsid w:val="00DD66FC"/>
    <w:rsid w:val="00DD6C02"/>
    <w:rsid w:val="00DF37A8"/>
    <w:rsid w:val="00DF6182"/>
    <w:rsid w:val="00DF7609"/>
    <w:rsid w:val="00E02451"/>
    <w:rsid w:val="00E0371E"/>
    <w:rsid w:val="00E03DE3"/>
    <w:rsid w:val="00E15615"/>
    <w:rsid w:val="00E15883"/>
    <w:rsid w:val="00E20032"/>
    <w:rsid w:val="00E21862"/>
    <w:rsid w:val="00E232FB"/>
    <w:rsid w:val="00E34FC5"/>
    <w:rsid w:val="00E35BFA"/>
    <w:rsid w:val="00E35CBE"/>
    <w:rsid w:val="00E42712"/>
    <w:rsid w:val="00E4272C"/>
    <w:rsid w:val="00E42B71"/>
    <w:rsid w:val="00E443C1"/>
    <w:rsid w:val="00E4601B"/>
    <w:rsid w:val="00E46B75"/>
    <w:rsid w:val="00E53B44"/>
    <w:rsid w:val="00E53C48"/>
    <w:rsid w:val="00E54129"/>
    <w:rsid w:val="00E55768"/>
    <w:rsid w:val="00E55BBC"/>
    <w:rsid w:val="00E61A09"/>
    <w:rsid w:val="00E67CED"/>
    <w:rsid w:val="00E777EC"/>
    <w:rsid w:val="00E81325"/>
    <w:rsid w:val="00E82308"/>
    <w:rsid w:val="00E8348A"/>
    <w:rsid w:val="00E926AD"/>
    <w:rsid w:val="00E95B82"/>
    <w:rsid w:val="00EA0DDE"/>
    <w:rsid w:val="00EA19DC"/>
    <w:rsid w:val="00EA4535"/>
    <w:rsid w:val="00EB0A59"/>
    <w:rsid w:val="00EB3E32"/>
    <w:rsid w:val="00EC2668"/>
    <w:rsid w:val="00EC5490"/>
    <w:rsid w:val="00ED48C4"/>
    <w:rsid w:val="00EE0950"/>
    <w:rsid w:val="00EF2B14"/>
    <w:rsid w:val="00EF2E9A"/>
    <w:rsid w:val="00EF3965"/>
    <w:rsid w:val="00F10995"/>
    <w:rsid w:val="00F258E0"/>
    <w:rsid w:val="00F27716"/>
    <w:rsid w:val="00F31AD0"/>
    <w:rsid w:val="00F373E9"/>
    <w:rsid w:val="00F37C0F"/>
    <w:rsid w:val="00F43D70"/>
    <w:rsid w:val="00F4594E"/>
    <w:rsid w:val="00F54BF2"/>
    <w:rsid w:val="00F55A96"/>
    <w:rsid w:val="00F55D61"/>
    <w:rsid w:val="00F63665"/>
    <w:rsid w:val="00F65CEF"/>
    <w:rsid w:val="00F65F09"/>
    <w:rsid w:val="00F66182"/>
    <w:rsid w:val="00F6757D"/>
    <w:rsid w:val="00F73884"/>
    <w:rsid w:val="00F73D54"/>
    <w:rsid w:val="00F73E99"/>
    <w:rsid w:val="00F80522"/>
    <w:rsid w:val="00F80C00"/>
    <w:rsid w:val="00F82AA0"/>
    <w:rsid w:val="00F834C1"/>
    <w:rsid w:val="00F83C76"/>
    <w:rsid w:val="00F926FC"/>
    <w:rsid w:val="00FA0598"/>
    <w:rsid w:val="00FA08D8"/>
    <w:rsid w:val="00FA2C09"/>
    <w:rsid w:val="00FA5B79"/>
    <w:rsid w:val="00FA5C39"/>
    <w:rsid w:val="00FA6682"/>
    <w:rsid w:val="00FA7D0D"/>
    <w:rsid w:val="00FB13B3"/>
    <w:rsid w:val="00FC1764"/>
    <w:rsid w:val="00FD0742"/>
    <w:rsid w:val="00FD1287"/>
    <w:rsid w:val="00FD6125"/>
    <w:rsid w:val="00FD65DD"/>
    <w:rsid w:val="00FD7EC9"/>
    <w:rsid w:val="00FE38B5"/>
    <w:rsid w:val="00FE4DAB"/>
    <w:rsid w:val="00FE7331"/>
    <w:rsid w:val="00FF2DA1"/>
    <w:rsid w:val="00FF6D5B"/>
    <w:rsid w:val="00FF6DD3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FCC2B"/>
  <w15:docId w15:val="{5B05709C-53AF-4D1A-8AFC-E8D96E62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859"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76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0BCA"/>
    <w:pPr>
      <w:ind w:left="720"/>
      <w:contextualSpacing/>
    </w:pPr>
  </w:style>
  <w:style w:type="table" w:styleId="Tablaconcuadrcula">
    <w:name w:val="Table Grid"/>
    <w:basedOn w:val="Tablanormal"/>
    <w:uiPriority w:val="39"/>
    <w:rsid w:val="00605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A6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6E87"/>
  </w:style>
  <w:style w:type="paragraph" w:styleId="Piedepgina">
    <w:name w:val="footer"/>
    <w:basedOn w:val="Normal"/>
    <w:link w:val="PiedepginaCar"/>
    <w:uiPriority w:val="99"/>
    <w:unhideWhenUsed/>
    <w:rsid w:val="009A6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E87"/>
  </w:style>
  <w:style w:type="paragraph" w:styleId="Textodeglobo">
    <w:name w:val="Balloon Text"/>
    <w:basedOn w:val="Normal"/>
    <w:link w:val="TextodegloboCar"/>
    <w:uiPriority w:val="99"/>
    <w:semiHidden/>
    <w:unhideWhenUsed/>
    <w:rsid w:val="009A6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E87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76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rsid w:val="00290D5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90D5A"/>
  </w:style>
  <w:style w:type="table" w:styleId="Tabladelista4-nfasis5">
    <w:name w:val="List Table 4 Accent 5"/>
    <w:basedOn w:val="Tablanormal"/>
    <w:uiPriority w:val="49"/>
    <w:rsid w:val="008A15C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normal5">
    <w:name w:val="Plain Table 5"/>
    <w:basedOn w:val="Tablanormal"/>
    <w:uiPriority w:val="45"/>
    <w:rsid w:val="00C862F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3">
    <w:name w:val="Plain Table 3"/>
    <w:basedOn w:val="Tablanormal"/>
    <w:uiPriority w:val="43"/>
    <w:rsid w:val="00C862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clara">
    <w:name w:val="Grid Table Light"/>
    <w:basedOn w:val="Tablanormal"/>
    <w:uiPriority w:val="40"/>
    <w:rsid w:val="00C862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-nfasis5">
    <w:name w:val="Grid Table 1 Light Accent 5"/>
    <w:basedOn w:val="Tablanormal"/>
    <w:uiPriority w:val="46"/>
    <w:rsid w:val="00C862F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basedOn w:val="Fuentedeprrafopredeter"/>
    <w:uiPriority w:val="99"/>
    <w:unhideWhenUsed/>
    <w:rsid w:val="000855F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5F7"/>
    <w:rPr>
      <w:color w:val="605E5C"/>
      <w:shd w:val="clear" w:color="auto" w:fill="E1DFDD"/>
    </w:rPr>
  </w:style>
  <w:style w:type="table" w:styleId="Tabladelista7concolores-nfasis2">
    <w:name w:val="List Table 7 Colorful Accent 2"/>
    <w:basedOn w:val="Tablanormal"/>
    <w:uiPriority w:val="52"/>
    <w:rsid w:val="00D22C8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2">
    <w:name w:val="List Table 6 Colorful Accent 2"/>
    <w:basedOn w:val="Tablanormal"/>
    <w:uiPriority w:val="51"/>
    <w:rsid w:val="00D22C8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3-nfasis2">
    <w:name w:val="Grid Table 3 Accent 2"/>
    <w:basedOn w:val="Tablanormal"/>
    <w:uiPriority w:val="48"/>
    <w:rsid w:val="00D22C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0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78014-3596-49AD-8D2C-6827512A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2989</TotalTime>
  <Pages>9</Pages>
  <Words>2674</Words>
  <Characters>14226</Characters>
  <Application>Microsoft Office Word</Application>
  <DocSecurity>0</DocSecurity>
  <Lines>618</Lines>
  <Paragraphs>157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Edmundo Perez Lopez</cp:lastModifiedBy>
  <cp:revision>90</cp:revision>
  <cp:lastPrinted>2022-01-31T23:26:00Z</cp:lastPrinted>
  <dcterms:created xsi:type="dcterms:W3CDTF">2023-10-16T17:25:00Z</dcterms:created>
  <dcterms:modified xsi:type="dcterms:W3CDTF">2024-02-01T19:36:00Z</dcterms:modified>
</cp:coreProperties>
</file>